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4F19C3">
      <w:pPr>
        <w:jc w:val="center"/>
        <w:rPr>
          <w:rFonts w:hint="eastAsia"/>
          <w:b/>
          <w:bCs/>
          <w:sz w:val="44"/>
          <w:szCs w:val="44"/>
          <w:lang w:eastAsia="zh-CN"/>
        </w:rPr>
      </w:pPr>
      <w:r>
        <w:rPr>
          <w:rFonts w:hint="eastAsia"/>
          <w:b/>
          <w:bCs/>
          <w:sz w:val="44"/>
          <w:szCs w:val="44"/>
          <w:lang w:eastAsia="zh-CN"/>
        </w:rPr>
        <w:t>目录</w:t>
      </w:r>
    </w:p>
    <w:p w14:paraId="6882C14A">
      <w:pPr>
        <w:jc w:val="center"/>
        <w:rPr>
          <w:rFonts w:hint="eastAsia"/>
          <w:b/>
          <w:bCs/>
          <w:sz w:val="44"/>
          <w:szCs w:val="44"/>
          <w:lang w:eastAsia="zh-CN"/>
        </w:rPr>
      </w:pPr>
    </w:p>
    <w:p w14:paraId="7FD1C5B4">
      <w:pPr>
        <w:pStyle w:val="13"/>
        <w:tabs>
          <w:tab w:val="right" w:leader="dot" w:pos="9026"/>
        </w:tabs>
        <w:jc w:val="left"/>
        <w:rPr>
          <w:sz w:val="24"/>
          <w:szCs w:val="24"/>
        </w:rPr>
      </w:pPr>
      <w:r>
        <w:rPr>
          <w:sz w:val="24"/>
          <w:szCs w:val="24"/>
        </w:rPr>
        <w:fldChar w:fldCharType="begin"/>
      </w:r>
      <w:r>
        <w:rPr>
          <w:sz w:val="24"/>
          <w:szCs w:val="24"/>
        </w:rPr>
        <w:instrText xml:space="preserve">TOC \o "1-3" \h \u </w:instrText>
      </w:r>
      <w:r>
        <w:rPr>
          <w:sz w:val="24"/>
          <w:szCs w:val="24"/>
        </w:rPr>
        <w:fldChar w:fldCharType="separate"/>
      </w:r>
      <w:r>
        <w:rPr>
          <w:sz w:val="24"/>
          <w:szCs w:val="24"/>
        </w:rPr>
        <w:fldChar w:fldCharType="begin"/>
      </w:r>
      <w:r>
        <w:rPr>
          <w:sz w:val="24"/>
          <w:szCs w:val="24"/>
        </w:rPr>
        <w:instrText xml:space="preserve"> HYPERLINK \l _Toc1235067135 </w:instrText>
      </w:r>
      <w:r>
        <w:rPr>
          <w:sz w:val="24"/>
          <w:szCs w:val="24"/>
        </w:rPr>
        <w:fldChar w:fldCharType="separate"/>
      </w:r>
      <w:r>
        <w:rPr>
          <w:rFonts w:hint="eastAsia" w:ascii="Times New Roman" w:hAnsi="Times New Roman" w:cs="黑体"/>
          <w:bCs/>
          <w:sz w:val="24"/>
          <w:szCs w:val="40"/>
        </w:rPr>
        <w:t>上海市</w:t>
      </w:r>
      <w:r>
        <w:rPr>
          <w:rFonts w:ascii="Times New Roman" w:hAnsi="Times New Roman" w:cs="黑体"/>
          <w:bCs/>
          <w:sz w:val="24"/>
          <w:szCs w:val="40"/>
        </w:rPr>
        <w:t>生物医药企业依法生产经营合规指引</w:t>
      </w:r>
      <w:r>
        <w:rPr>
          <w:sz w:val="24"/>
          <w:szCs w:val="24"/>
        </w:rPr>
        <w:tab/>
      </w:r>
      <w:r>
        <w:rPr>
          <w:sz w:val="24"/>
          <w:szCs w:val="24"/>
        </w:rPr>
        <w:fldChar w:fldCharType="begin"/>
      </w:r>
      <w:r>
        <w:rPr>
          <w:sz w:val="24"/>
          <w:szCs w:val="24"/>
        </w:rPr>
        <w:instrText xml:space="preserve"> PAGEREF _Toc1235067135 \h </w:instrText>
      </w:r>
      <w:r>
        <w:rPr>
          <w:sz w:val="24"/>
          <w:szCs w:val="24"/>
        </w:rPr>
        <w:fldChar w:fldCharType="separate"/>
      </w:r>
      <w:r>
        <w:rPr>
          <w:sz w:val="24"/>
          <w:szCs w:val="24"/>
        </w:rPr>
        <w:t>3</w:t>
      </w:r>
      <w:r>
        <w:rPr>
          <w:sz w:val="24"/>
          <w:szCs w:val="24"/>
        </w:rPr>
        <w:fldChar w:fldCharType="end"/>
      </w:r>
      <w:r>
        <w:rPr>
          <w:sz w:val="24"/>
          <w:szCs w:val="24"/>
        </w:rPr>
        <w:fldChar w:fldCharType="end"/>
      </w:r>
    </w:p>
    <w:p w14:paraId="129A05C7">
      <w:pPr>
        <w:pStyle w:val="13"/>
        <w:tabs>
          <w:tab w:val="right" w:leader="dot" w:pos="9026"/>
        </w:tabs>
        <w:jc w:val="left"/>
        <w:rPr>
          <w:sz w:val="24"/>
          <w:szCs w:val="24"/>
        </w:rPr>
      </w:pPr>
      <w:r>
        <w:rPr>
          <w:sz w:val="24"/>
          <w:szCs w:val="24"/>
        </w:rPr>
        <w:fldChar w:fldCharType="begin"/>
      </w:r>
      <w:r>
        <w:rPr>
          <w:sz w:val="24"/>
          <w:szCs w:val="24"/>
        </w:rPr>
        <w:instrText xml:space="preserve"> HYPERLINK \l _Toc1546772911 </w:instrText>
      </w:r>
      <w:r>
        <w:rPr>
          <w:sz w:val="24"/>
          <w:szCs w:val="24"/>
        </w:rPr>
        <w:fldChar w:fldCharType="separate"/>
      </w:r>
      <w:r>
        <w:rPr>
          <w:rFonts w:ascii="Times New Roman" w:hAnsi="Times New Roman" w:cs="黑体"/>
          <w:bCs/>
          <w:sz w:val="24"/>
          <w:szCs w:val="40"/>
        </w:rPr>
        <w:t>（医疗器械篇）</w:t>
      </w:r>
      <w:r>
        <w:rPr>
          <w:rFonts w:hint="default" w:ascii="仿宋_GB2312" w:hAnsi="Calibri" w:eastAsia="仿宋_GB2312" w:cs="Times New Roman"/>
          <w:sz w:val="32"/>
          <w:szCs w:val="32"/>
          <w:lang w:val="en-US" w:eastAsia="zh-CN"/>
        </w:rPr>
        <w:t>（</w:t>
      </w:r>
      <w:r>
        <w:rPr>
          <w:rFonts w:hint="default" w:ascii="Times New Roman" w:hAnsi="Times New Roman" w:eastAsia="宋体" w:cs="黑体"/>
          <w:bCs/>
          <w:sz w:val="24"/>
          <w:szCs w:val="40"/>
          <w:lang w:val="en-US" w:eastAsia="zh-CN"/>
        </w:rPr>
        <w:t>征求意见稿）</w:t>
      </w:r>
      <w:r>
        <w:rPr>
          <w:sz w:val="24"/>
          <w:szCs w:val="24"/>
        </w:rPr>
        <w:tab/>
      </w:r>
      <w:r>
        <w:rPr>
          <w:sz w:val="24"/>
          <w:szCs w:val="24"/>
        </w:rPr>
        <w:fldChar w:fldCharType="begin"/>
      </w:r>
      <w:r>
        <w:rPr>
          <w:sz w:val="24"/>
          <w:szCs w:val="24"/>
        </w:rPr>
        <w:instrText xml:space="preserve"> PAGEREF _Toc1546772911 \h </w:instrText>
      </w:r>
      <w:r>
        <w:rPr>
          <w:sz w:val="24"/>
          <w:szCs w:val="24"/>
        </w:rPr>
        <w:fldChar w:fldCharType="separate"/>
      </w:r>
      <w:r>
        <w:rPr>
          <w:sz w:val="24"/>
          <w:szCs w:val="24"/>
        </w:rPr>
        <w:t>3</w:t>
      </w:r>
      <w:r>
        <w:rPr>
          <w:sz w:val="24"/>
          <w:szCs w:val="24"/>
        </w:rPr>
        <w:fldChar w:fldCharType="end"/>
      </w:r>
      <w:r>
        <w:rPr>
          <w:sz w:val="24"/>
          <w:szCs w:val="24"/>
        </w:rPr>
        <w:fldChar w:fldCharType="end"/>
      </w:r>
    </w:p>
    <w:p w14:paraId="2532A7D9">
      <w:pPr>
        <w:pStyle w:val="13"/>
        <w:tabs>
          <w:tab w:val="right" w:leader="dot" w:pos="9026"/>
        </w:tabs>
        <w:jc w:val="left"/>
        <w:rPr>
          <w:sz w:val="24"/>
          <w:szCs w:val="24"/>
        </w:rPr>
      </w:pPr>
      <w:r>
        <w:rPr>
          <w:sz w:val="24"/>
          <w:szCs w:val="24"/>
        </w:rPr>
        <w:fldChar w:fldCharType="begin"/>
      </w:r>
      <w:r>
        <w:rPr>
          <w:sz w:val="24"/>
          <w:szCs w:val="24"/>
        </w:rPr>
        <w:instrText xml:space="preserve"> HYPERLINK \l _Toc223674142 </w:instrText>
      </w:r>
      <w:r>
        <w:rPr>
          <w:sz w:val="24"/>
          <w:szCs w:val="24"/>
        </w:rPr>
        <w:fldChar w:fldCharType="separate"/>
      </w:r>
      <w:r>
        <w:rPr>
          <w:rFonts w:hint="eastAsia" w:ascii="Times New Roman" w:hAnsi="Times New Roman"/>
          <w:bCs/>
          <w:sz w:val="24"/>
          <w:szCs w:val="36"/>
        </w:rPr>
        <w:t>一、国内篇</w:t>
      </w:r>
      <w:r>
        <w:rPr>
          <w:sz w:val="24"/>
          <w:szCs w:val="24"/>
        </w:rPr>
        <w:tab/>
      </w:r>
      <w:r>
        <w:rPr>
          <w:sz w:val="24"/>
          <w:szCs w:val="24"/>
        </w:rPr>
        <w:fldChar w:fldCharType="begin"/>
      </w:r>
      <w:r>
        <w:rPr>
          <w:sz w:val="24"/>
          <w:szCs w:val="24"/>
        </w:rPr>
        <w:instrText xml:space="preserve"> PAGEREF _Toc223674142 \h </w:instrText>
      </w:r>
      <w:r>
        <w:rPr>
          <w:sz w:val="24"/>
          <w:szCs w:val="24"/>
        </w:rPr>
        <w:fldChar w:fldCharType="separate"/>
      </w:r>
      <w:r>
        <w:rPr>
          <w:sz w:val="24"/>
          <w:szCs w:val="24"/>
        </w:rPr>
        <w:t>3</w:t>
      </w:r>
      <w:r>
        <w:rPr>
          <w:sz w:val="24"/>
          <w:szCs w:val="24"/>
        </w:rPr>
        <w:fldChar w:fldCharType="end"/>
      </w:r>
      <w:r>
        <w:rPr>
          <w:sz w:val="24"/>
          <w:szCs w:val="24"/>
        </w:rPr>
        <w:fldChar w:fldCharType="end"/>
      </w:r>
    </w:p>
    <w:p w14:paraId="6F221FCA">
      <w:pPr>
        <w:pStyle w:val="15"/>
        <w:tabs>
          <w:tab w:val="right" w:leader="dot" w:pos="9026"/>
        </w:tabs>
        <w:jc w:val="left"/>
        <w:rPr>
          <w:sz w:val="24"/>
          <w:szCs w:val="24"/>
        </w:rPr>
      </w:pPr>
      <w:r>
        <w:rPr>
          <w:sz w:val="24"/>
          <w:szCs w:val="24"/>
        </w:rPr>
        <w:fldChar w:fldCharType="begin"/>
      </w:r>
      <w:r>
        <w:rPr>
          <w:sz w:val="24"/>
          <w:szCs w:val="24"/>
        </w:rPr>
        <w:instrText xml:space="preserve"> HYPERLINK \l _Toc1930029486 </w:instrText>
      </w:r>
      <w:r>
        <w:rPr>
          <w:sz w:val="24"/>
          <w:szCs w:val="24"/>
        </w:rPr>
        <w:fldChar w:fldCharType="separate"/>
      </w:r>
      <w:r>
        <w:rPr>
          <w:rFonts w:ascii="Times New Roman" w:hAnsi="Times New Roman"/>
          <w:bCs/>
          <w:sz w:val="24"/>
          <w:szCs w:val="36"/>
          <w:lang w:val="en-US"/>
        </w:rPr>
        <w:t>第一章 研制注册管理</w:t>
      </w:r>
      <w:r>
        <w:rPr>
          <w:sz w:val="24"/>
          <w:szCs w:val="24"/>
        </w:rPr>
        <w:tab/>
      </w:r>
      <w:r>
        <w:rPr>
          <w:sz w:val="24"/>
          <w:szCs w:val="24"/>
        </w:rPr>
        <w:fldChar w:fldCharType="begin"/>
      </w:r>
      <w:r>
        <w:rPr>
          <w:sz w:val="24"/>
          <w:szCs w:val="24"/>
        </w:rPr>
        <w:instrText xml:space="preserve"> PAGEREF _Toc1930029486 \h </w:instrText>
      </w:r>
      <w:r>
        <w:rPr>
          <w:sz w:val="24"/>
          <w:szCs w:val="24"/>
        </w:rPr>
        <w:fldChar w:fldCharType="separate"/>
      </w:r>
      <w:r>
        <w:rPr>
          <w:sz w:val="24"/>
          <w:szCs w:val="24"/>
        </w:rPr>
        <w:t>3</w:t>
      </w:r>
      <w:r>
        <w:rPr>
          <w:sz w:val="24"/>
          <w:szCs w:val="24"/>
        </w:rPr>
        <w:fldChar w:fldCharType="end"/>
      </w:r>
      <w:r>
        <w:rPr>
          <w:sz w:val="24"/>
          <w:szCs w:val="24"/>
        </w:rPr>
        <w:fldChar w:fldCharType="end"/>
      </w:r>
    </w:p>
    <w:p w14:paraId="32B4E55D">
      <w:pPr>
        <w:pStyle w:val="9"/>
        <w:tabs>
          <w:tab w:val="right" w:leader="dot" w:pos="9026"/>
        </w:tabs>
        <w:jc w:val="left"/>
        <w:rPr>
          <w:sz w:val="24"/>
          <w:szCs w:val="24"/>
        </w:rPr>
      </w:pPr>
      <w:r>
        <w:rPr>
          <w:sz w:val="24"/>
          <w:szCs w:val="24"/>
        </w:rPr>
        <w:fldChar w:fldCharType="begin"/>
      </w:r>
      <w:r>
        <w:rPr>
          <w:sz w:val="24"/>
          <w:szCs w:val="24"/>
        </w:rPr>
        <w:instrText xml:space="preserve"> HYPERLINK \l _Toc359584468 </w:instrText>
      </w:r>
      <w:r>
        <w:rPr>
          <w:sz w:val="24"/>
          <w:szCs w:val="24"/>
        </w:rPr>
        <w:fldChar w:fldCharType="separate"/>
      </w:r>
      <w:r>
        <w:rPr>
          <w:rFonts w:ascii="Times New Roman" w:hAnsi="Times New Roman"/>
          <w:bCs/>
          <w:sz w:val="24"/>
          <w:szCs w:val="36"/>
          <w:lang w:val="en-US"/>
        </w:rPr>
        <w:t>一、研发管理</w:t>
      </w:r>
      <w:r>
        <w:rPr>
          <w:sz w:val="24"/>
          <w:szCs w:val="24"/>
        </w:rPr>
        <w:tab/>
      </w:r>
      <w:r>
        <w:rPr>
          <w:sz w:val="24"/>
          <w:szCs w:val="24"/>
        </w:rPr>
        <w:fldChar w:fldCharType="begin"/>
      </w:r>
      <w:r>
        <w:rPr>
          <w:sz w:val="24"/>
          <w:szCs w:val="24"/>
        </w:rPr>
        <w:instrText xml:space="preserve"> PAGEREF _Toc359584468 \h </w:instrText>
      </w:r>
      <w:r>
        <w:rPr>
          <w:sz w:val="24"/>
          <w:szCs w:val="24"/>
        </w:rPr>
        <w:fldChar w:fldCharType="separate"/>
      </w:r>
      <w:r>
        <w:rPr>
          <w:sz w:val="24"/>
          <w:szCs w:val="24"/>
        </w:rPr>
        <w:t>3</w:t>
      </w:r>
      <w:r>
        <w:rPr>
          <w:sz w:val="24"/>
          <w:szCs w:val="24"/>
        </w:rPr>
        <w:fldChar w:fldCharType="end"/>
      </w:r>
      <w:r>
        <w:rPr>
          <w:sz w:val="24"/>
          <w:szCs w:val="24"/>
        </w:rPr>
        <w:fldChar w:fldCharType="end"/>
      </w:r>
    </w:p>
    <w:p w14:paraId="600EE33A">
      <w:pPr>
        <w:pStyle w:val="9"/>
        <w:tabs>
          <w:tab w:val="right" w:leader="dot" w:pos="9026"/>
        </w:tabs>
        <w:jc w:val="left"/>
        <w:rPr>
          <w:sz w:val="24"/>
          <w:szCs w:val="24"/>
        </w:rPr>
      </w:pPr>
      <w:r>
        <w:rPr>
          <w:sz w:val="24"/>
          <w:szCs w:val="24"/>
        </w:rPr>
        <w:fldChar w:fldCharType="begin"/>
      </w:r>
      <w:r>
        <w:rPr>
          <w:sz w:val="24"/>
          <w:szCs w:val="24"/>
        </w:rPr>
        <w:instrText xml:space="preserve"> HYPERLINK \l _Toc455410942 </w:instrText>
      </w:r>
      <w:r>
        <w:rPr>
          <w:sz w:val="24"/>
          <w:szCs w:val="24"/>
        </w:rPr>
        <w:fldChar w:fldCharType="separate"/>
      </w:r>
      <w:r>
        <w:rPr>
          <w:rFonts w:ascii="Times New Roman" w:hAnsi="Times New Roman"/>
          <w:bCs/>
          <w:sz w:val="24"/>
          <w:szCs w:val="36"/>
          <w:lang w:val="en-US"/>
        </w:rPr>
        <w:t>二、临床试验</w:t>
      </w:r>
      <w:r>
        <w:rPr>
          <w:sz w:val="24"/>
          <w:szCs w:val="24"/>
        </w:rPr>
        <w:tab/>
      </w:r>
      <w:r>
        <w:rPr>
          <w:sz w:val="24"/>
          <w:szCs w:val="24"/>
        </w:rPr>
        <w:fldChar w:fldCharType="begin"/>
      </w:r>
      <w:r>
        <w:rPr>
          <w:sz w:val="24"/>
          <w:szCs w:val="24"/>
        </w:rPr>
        <w:instrText xml:space="preserve"> PAGEREF _Toc455410942 \h </w:instrText>
      </w:r>
      <w:r>
        <w:rPr>
          <w:sz w:val="24"/>
          <w:szCs w:val="24"/>
        </w:rPr>
        <w:fldChar w:fldCharType="separate"/>
      </w:r>
      <w:r>
        <w:rPr>
          <w:sz w:val="24"/>
          <w:szCs w:val="24"/>
        </w:rPr>
        <w:t>3</w:t>
      </w:r>
      <w:r>
        <w:rPr>
          <w:sz w:val="24"/>
          <w:szCs w:val="24"/>
        </w:rPr>
        <w:fldChar w:fldCharType="end"/>
      </w:r>
      <w:r>
        <w:rPr>
          <w:sz w:val="24"/>
          <w:szCs w:val="24"/>
        </w:rPr>
        <w:fldChar w:fldCharType="end"/>
      </w:r>
    </w:p>
    <w:p w14:paraId="41BC5531">
      <w:pPr>
        <w:pStyle w:val="9"/>
        <w:tabs>
          <w:tab w:val="right" w:leader="dot" w:pos="9026"/>
        </w:tabs>
        <w:jc w:val="left"/>
        <w:rPr>
          <w:sz w:val="24"/>
          <w:szCs w:val="24"/>
        </w:rPr>
      </w:pPr>
      <w:r>
        <w:rPr>
          <w:sz w:val="24"/>
          <w:szCs w:val="24"/>
        </w:rPr>
        <w:fldChar w:fldCharType="begin"/>
      </w:r>
      <w:r>
        <w:rPr>
          <w:sz w:val="24"/>
          <w:szCs w:val="24"/>
        </w:rPr>
        <w:instrText xml:space="preserve"> HYPERLINK \l _Toc1927286870 </w:instrText>
      </w:r>
      <w:r>
        <w:rPr>
          <w:sz w:val="24"/>
          <w:szCs w:val="24"/>
        </w:rPr>
        <w:fldChar w:fldCharType="separate"/>
      </w:r>
      <w:r>
        <w:rPr>
          <w:rFonts w:ascii="Times New Roman" w:hAnsi="Times New Roman"/>
          <w:bCs/>
          <w:sz w:val="24"/>
          <w:szCs w:val="36"/>
          <w:lang w:val="en-US"/>
        </w:rPr>
        <w:t>三、注册及备案</w:t>
      </w:r>
      <w:r>
        <w:rPr>
          <w:sz w:val="24"/>
          <w:szCs w:val="24"/>
        </w:rPr>
        <w:tab/>
      </w:r>
      <w:r>
        <w:rPr>
          <w:sz w:val="24"/>
          <w:szCs w:val="24"/>
        </w:rPr>
        <w:fldChar w:fldCharType="begin"/>
      </w:r>
      <w:r>
        <w:rPr>
          <w:sz w:val="24"/>
          <w:szCs w:val="24"/>
        </w:rPr>
        <w:instrText xml:space="preserve"> PAGEREF _Toc1927286870 \h </w:instrText>
      </w:r>
      <w:r>
        <w:rPr>
          <w:sz w:val="24"/>
          <w:szCs w:val="24"/>
        </w:rPr>
        <w:fldChar w:fldCharType="separate"/>
      </w:r>
      <w:r>
        <w:rPr>
          <w:sz w:val="24"/>
          <w:szCs w:val="24"/>
        </w:rPr>
        <w:t>3</w:t>
      </w:r>
      <w:r>
        <w:rPr>
          <w:sz w:val="24"/>
          <w:szCs w:val="24"/>
        </w:rPr>
        <w:fldChar w:fldCharType="end"/>
      </w:r>
      <w:r>
        <w:rPr>
          <w:sz w:val="24"/>
          <w:szCs w:val="24"/>
        </w:rPr>
        <w:fldChar w:fldCharType="end"/>
      </w:r>
    </w:p>
    <w:p w14:paraId="2E0FD092">
      <w:pPr>
        <w:pStyle w:val="9"/>
        <w:tabs>
          <w:tab w:val="right" w:leader="dot" w:pos="9026"/>
        </w:tabs>
        <w:jc w:val="left"/>
        <w:rPr>
          <w:sz w:val="24"/>
          <w:szCs w:val="24"/>
        </w:rPr>
      </w:pPr>
      <w:r>
        <w:rPr>
          <w:sz w:val="24"/>
          <w:szCs w:val="24"/>
        </w:rPr>
        <w:fldChar w:fldCharType="begin"/>
      </w:r>
      <w:r>
        <w:rPr>
          <w:sz w:val="24"/>
          <w:szCs w:val="24"/>
        </w:rPr>
        <w:instrText xml:space="preserve"> HYPERLINK \l _Toc1365960687 </w:instrText>
      </w:r>
      <w:r>
        <w:rPr>
          <w:sz w:val="24"/>
          <w:szCs w:val="24"/>
        </w:rPr>
        <w:fldChar w:fldCharType="separate"/>
      </w:r>
      <w:r>
        <w:rPr>
          <w:rFonts w:ascii="Times New Roman" w:hAnsi="Times New Roman"/>
          <w:bCs/>
          <w:sz w:val="24"/>
          <w:szCs w:val="36"/>
          <w:lang w:val="en-US"/>
        </w:rPr>
        <w:t>四、变更管理</w:t>
      </w:r>
      <w:bookmarkStart w:id="49" w:name="_GoBack"/>
      <w:bookmarkEnd w:id="49"/>
      <w:r>
        <w:rPr>
          <w:sz w:val="24"/>
          <w:szCs w:val="24"/>
        </w:rPr>
        <w:tab/>
      </w:r>
      <w:r>
        <w:rPr>
          <w:sz w:val="24"/>
          <w:szCs w:val="24"/>
        </w:rPr>
        <w:fldChar w:fldCharType="begin"/>
      </w:r>
      <w:r>
        <w:rPr>
          <w:sz w:val="24"/>
          <w:szCs w:val="24"/>
        </w:rPr>
        <w:instrText xml:space="preserve"> PAGEREF _Toc1365960687 \h </w:instrText>
      </w:r>
      <w:r>
        <w:rPr>
          <w:sz w:val="24"/>
          <w:szCs w:val="24"/>
        </w:rPr>
        <w:fldChar w:fldCharType="separate"/>
      </w:r>
      <w:r>
        <w:rPr>
          <w:sz w:val="24"/>
          <w:szCs w:val="24"/>
        </w:rPr>
        <w:t>4</w:t>
      </w:r>
      <w:r>
        <w:rPr>
          <w:sz w:val="24"/>
          <w:szCs w:val="24"/>
        </w:rPr>
        <w:fldChar w:fldCharType="end"/>
      </w:r>
      <w:r>
        <w:rPr>
          <w:sz w:val="24"/>
          <w:szCs w:val="24"/>
        </w:rPr>
        <w:fldChar w:fldCharType="end"/>
      </w:r>
    </w:p>
    <w:p w14:paraId="49A25F57">
      <w:pPr>
        <w:pStyle w:val="9"/>
        <w:tabs>
          <w:tab w:val="right" w:leader="dot" w:pos="9026"/>
        </w:tabs>
        <w:jc w:val="left"/>
        <w:rPr>
          <w:sz w:val="24"/>
          <w:szCs w:val="24"/>
        </w:rPr>
      </w:pPr>
      <w:r>
        <w:rPr>
          <w:sz w:val="24"/>
          <w:szCs w:val="24"/>
        </w:rPr>
        <w:fldChar w:fldCharType="begin"/>
      </w:r>
      <w:r>
        <w:rPr>
          <w:sz w:val="24"/>
          <w:szCs w:val="24"/>
        </w:rPr>
        <w:instrText xml:space="preserve"> HYPERLINK \l _Toc1081553854 </w:instrText>
      </w:r>
      <w:r>
        <w:rPr>
          <w:sz w:val="24"/>
          <w:szCs w:val="24"/>
        </w:rPr>
        <w:fldChar w:fldCharType="separate"/>
      </w:r>
      <w:r>
        <w:rPr>
          <w:rFonts w:ascii="Times New Roman" w:hAnsi="Times New Roman"/>
          <w:bCs/>
          <w:sz w:val="24"/>
          <w:szCs w:val="36"/>
          <w:lang w:val="en-US"/>
        </w:rPr>
        <w:t>五、境内代理人</w:t>
      </w:r>
      <w:r>
        <w:rPr>
          <w:sz w:val="24"/>
          <w:szCs w:val="24"/>
        </w:rPr>
        <w:tab/>
      </w:r>
      <w:r>
        <w:rPr>
          <w:sz w:val="24"/>
          <w:szCs w:val="24"/>
        </w:rPr>
        <w:fldChar w:fldCharType="begin"/>
      </w:r>
      <w:r>
        <w:rPr>
          <w:sz w:val="24"/>
          <w:szCs w:val="24"/>
        </w:rPr>
        <w:instrText xml:space="preserve"> PAGEREF _Toc1081553854 \h </w:instrText>
      </w:r>
      <w:r>
        <w:rPr>
          <w:sz w:val="24"/>
          <w:szCs w:val="24"/>
        </w:rPr>
        <w:fldChar w:fldCharType="separate"/>
      </w:r>
      <w:r>
        <w:rPr>
          <w:sz w:val="24"/>
          <w:szCs w:val="24"/>
        </w:rPr>
        <w:t>4</w:t>
      </w:r>
      <w:r>
        <w:rPr>
          <w:sz w:val="24"/>
          <w:szCs w:val="24"/>
        </w:rPr>
        <w:fldChar w:fldCharType="end"/>
      </w:r>
      <w:r>
        <w:rPr>
          <w:sz w:val="24"/>
          <w:szCs w:val="24"/>
        </w:rPr>
        <w:fldChar w:fldCharType="end"/>
      </w:r>
    </w:p>
    <w:p w14:paraId="3EFA48DD">
      <w:pPr>
        <w:pStyle w:val="15"/>
        <w:tabs>
          <w:tab w:val="right" w:leader="dot" w:pos="9026"/>
        </w:tabs>
        <w:jc w:val="left"/>
        <w:rPr>
          <w:sz w:val="24"/>
          <w:szCs w:val="24"/>
        </w:rPr>
      </w:pPr>
      <w:r>
        <w:rPr>
          <w:sz w:val="24"/>
          <w:szCs w:val="24"/>
        </w:rPr>
        <w:fldChar w:fldCharType="begin"/>
      </w:r>
      <w:r>
        <w:rPr>
          <w:sz w:val="24"/>
          <w:szCs w:val="24"/>
        </w:rPr>
        <w:instrText xml:space="preserve"> HYPERLINK \l _Toc248912431 </w:instrText>
      </w:r>
      <w:r>
        <w:rPr>
          <w:sz w:val="24"/>
          <w:szCs w:val="24"/>
        </w:rPr>
        <w:fldChar w:fldCharType="separate"/>
      </w:r>
      <w:r>
        <w:rPr>
          <w:rFonts w:ascii="Times New Roman" w:hAnsi="Times New Roman"/>
          <w:bCs/>
          <w:sz w:val="24"/>
          <w:szCs w:val="36"/>
          <w:lang w:val="en-US"/>
        </w:rPr>
        <w:t>第二章 生产管理</w:t>
      </w:r>
      <w:r>
        <w:rPr>
          <w:sz w:val="24"/>
          <w:szCs w:val="24"/>
        </w:rPr>
        <w:tab/>
      </w:r>
      <w:r>
        <w:rPr>
          <w:sz w:val="24"/>
          <w:szCs w:val="24"/>
        </w:rPr>
        <w:fldChar w:fldCharType="begin"/>
      </w:r>
      <w:r>
        <w:rPr>
          <w:sz w:val="24"/>
          <w:szCs w:val="24"/>
        </w:rPr>
        <w:instrText xml:space="preserve"> PAGEREF _Toc248912431 \h </w:instrText>
      </w:r>
      <w:r>
        <w:rPr>
          <w:sz w:val="24"/>
          <w:szCs w:val="24"/>
        </w:rPr>
        <w:fldChar w:fldCharType="separate"/>
      </w:r>
      <w:r>
        <w:rPr>
          <w:sz w:val="24"/>
          <w:szCs w:val="24"/>
        </w:rPr>
        <w:t>4</w:t>
      </w:r>
      <w:r>
        <w:rPr>
          <w:sz w:val="24"/>
          <w:szCs w:val="24"/>
        </w:rPr>
        <w:fldChar w:fldCharType="end"/>
      </w:r>
      <w:r>
        <w:rPr>
          <w:sz w:val="24"/>
          <w:szCs w:val="24"/>
        </w:rPr>
        <w:fldChar w:fldCharType="end"/>
      </w:r>
    </w:p>
    <w:p w14:paraId="2F0A5078">
      <w:pPr>
        <w:pStyle w:val="9"/>
        <w:tabs>
          <w:tab w:val="right" w:leader="dot" w:pos="9026"/>
        </w:tabs>
        <w:jc w:val="left"/>
        <w:rPr>
          <w:sz w:val="24"/>
          <w:szCs w:val="24"/>
        </w:rPr>
      </w:pPr>
      <w:r>
        <w:rPr>
          <w:sz w:val="24"/>
          <w:szCs w:val="24"/>
        </w:rPr>
        <w:fldChar w:fldCharType="begin"/>
      </w:r>
      <w:r>
        <w:rPr>
          <w:sz w:val="24"/>
          <w:szCs w:val="24"/>
        </w:rPr>
        <w:instrText xml:space="preserve"> HYPERLINK \l _Toc173159526 </w:instrText>
      </w:r>
      <w:r>
        <w:rPr>
          <w:sz w:val="24"/>
          <w:szCs w:val="24"/>
        </w:rPr>
        <w:fldChar w:fldCharType="separate"/>
      </w:r>
      <w:r>
        <w:rPr>
          <w:rFonts w:ascii="Times New Roman" w:hAnsi="Times New Roman"/>
          <w:bCs/>
          <w:sz w:val="24"/>
          <w:szCs w:val="36"/>
          <w:lang w:val="en-US"/>
        </w:rPr>
        <w:t>一、资质许可</w:t>
      </w:r>
      <w:r>
        <w:rPr>
          <w:sz w:val="24"/>
          <w:szCs w:val="24"/>
        </w:rPr>
        <w:tab/>
      </w:r>
      <w:r>
        <w:rPr>
          <w:sz w:val="24"/>
          <w:szCs w:val="24"/>
        </w:rPr>
        <w:fldChar w:fldCharType="begin"/>
      </w:r>
      <w:r>
        <w:rPr>
          <w:sz w:val="24"/>
          <w:szCs w:val="24"/>
        </w:rPr>
        <w:instrText xml:space="preserve"> PAGEREF _Toc173159526 \h </w:instrText>
      </w:r>
      <w:r>
        <w:rPr>
          <w:sz w:val="24"/>
          <w:szCs w:val="24"/>
        </w:rPr>
        <w:fldChar w:fldCharType="separate"/>
      </w:r>
      <w:r>
        <w:rPr>
          <w:sz w:val="24"/>
          <w:szCs w:val="24"/>
        </w:rPr>
        <w:t>4</w:t>
      </w:r>
      <w:r>
        <w:rPr>
          <w:sz w:val="24"/>
          <w:szCs w:val="24"/>
        </w:rPr>
        <w:fldChar w:fldCharType="end"/>
      </w:r>
      <w:r>
        <w:rPr>
          <w:sz w:val="24"/>
          <w:szCs w:val="24"/>
        </w:rPr>
        <w:fldChar w:fldCharType="end"/>
      </w:r>
    </w:p>
    <w:p w14:paraId="647052C9">
      <w:pPr>
        <w:pStyle w:val="9"/>
        <w:tabs>
          <w:tab w:val="right" w:leader="dot" w:pos="9026"/>
        </w:tabs>
        <w:jc w:val="left"/>
        <w:rPr>
          <w:sz w:val="24"/>
          <w:szCs w:val="24"/>
        </w:rPr>
      </w:pPr>
      <w:r>
        <w:rPr>
          <w:sz w:val="24"/>
          <w:szCs w:val="24"/>
        </w:rPr>
        <w:fldChar w:fldCharType="begin"/>
      </w:r>
      <w:r>
        <w:rPr>
          <w:sz w:val="24"/>
          <w:szCs w:val="24"/>
        </w:rPr>
        <w:instrText xml:space="preserve"> HYPERLINK \l _Toc284398983 </w:instrText>
      </w:r>
      <w:r>
        <w:rPr>
          <w:sz w:val="24"/>
          <w:szCs w:val="24"/>
        </w:rPr>
        <w:fldChar w:fldCharType="separate"/>
      </w:r>
      <w:r>
        <w:rPr>
          <w:rFonts w:ascii="Times New Roman" w:hAnsi="Times New Roman"/>
          <w:bCs/>
          <w:sz w:val="24"/>
          <w:szCs w:val="36"/>
          <w:lang w:val="en-US"/>
        </w:rPr>
        <w:t>二、质量管理</w:t>
      </w:r>
      <w:r>
        <w:rPr>
          <w:sz w:val="24"/>
          <w:szCs w:val="24"/>
        </w:rPr>
        <w:tab/>
      </w:r>
      <w:r>
        <w:rPr>
          <w:sz w:val="24"/>
          <w:szCs w:val="24"/>
        </w:rPr>
        <w:fldChar w:fldCharType="begin"/>
      </w:r>
      <w:r>
        <w:rPr>
          <w:sz w:val="24"/>
          <w:szCs w:val="24"/>
        </w:rPr>
        <w:instrText xml:space="preserve"> PAGEREF _Toc284398983 \h </w:instrText>
      </w:r>
      <w:r>
        <w:rPr>
          <w:sz w:val="24"/>
          <w:szCs w:val="24"/>
        </w:rPr>
        <w:fldChar w:fldCharType="separate"/>
      </w:r>
      <w:r>
        <w:rPr>
          <w:sz w:val="24"/>
          <w:szCs w:val="24"/>
        </w:rPr>
        <w:t>5</w:t>
      </w:r>
      <w:r>
        <w:rPr>
          <w:sz w:val="24"/>
          <w:szCs w:val="24"/>
        </w:rPr>
        <w:fldChar w:fldCharType="end"/>
      </w:r>
      <w:r>
        <w:rPr>
          <w:sz w:val="24"/>
          <w:szCs w:val="24"/>
        </w:rPr>
        <w:fldChar w:fldCharType="end"/>
      </w:r>
    </w:p>
    <w:p w14:paraId="4F47C631">
      <w:pPr>
        <w:pStyle w:val="9"/>
        <w:tabs>
          <w:tab w:val="right" w:leader="dot" w:pos="9026"/>
        </w:tabs>
        <w:jc w:val="left"/>
        <w:rPr>
          <w:sz w:val="24"/>
          <w:szCs w:val="24"/>
        </w:rPr>
      </w:pPr>
      <w:r>
        <w:rPr>
          <w:sz w:val="24"/>
          <w:szCs w:val="24"/>
        </w:rPr>
        <w:fldChar w:fldCharType="begin"/>
      </w:r>
      <w:r>
        <w:rPr>
          <w:sz w:val="24"/>
          <w:szCs w:val="24"/>
        </w:rPr>
        <w:instrText xml:space="preserve"> HYPERLINK \l _Toc2093487332 </w:instrText>
      </w:r>
      <w:r>
        <w:rPr>
          <w:sz w:val="24"/>
          <w:szCs w:val="24"/>
        </w:rPr>
        <w:fldChar w:fldCharType="separate"/>
      </w:r>
      <w:r>
        <w:rPr>
          <w:rFonts w:ascii="Times New Roman" w:hAnsi="Times New Roman"/>
          <w:bCs/>
          <w:sz w:val="24"/>
          <w:szCs w:val="36"/>
          <w:lang w:val="en-US"/>
        </w:rPr>
        <w:t>三、委托生产</w:t>
      </w:r>
      <w:r>
        <w:rPr>
          <w:sz w:val="24"/>
          <w:szCs w:val="24"/>
        </w:rPr>
        <w:tab/>
      </w:r>
      <w:r>
        <w:rPr>
          <w:sz w:val="24"/>
          <w:szCs w:val="24"/>
        </w:rPr>
        <w:fldChar w:fldCharType="begin"/>
      </w:r>
      <w:r>
        <w:rPr>
          <w:sz w:val="24"/>
          <w:szCs w:val="24"/>
        </w:rPr>
        <w:instrText xml:space="preserve"> PAGEREF _Toc2093487332 \h </w:instrText>
      </w:r>
      <w:r>
        <w:rPr>
          <w:sz w:val="24"/>
          <w:szCs w:val="24"/>
        </w:rPr>
        <w:fldChar w:fldCharType="separate"/>
      </w:r>
      <w:r>
        <w:rPr>
          <w:sz w:val="24"/>
          <w:szCs w:val="24"/>
        </w:rPr>
        <w:t>5</w:t>
      </w:r>
      <w:r>
        <w:rPr>
          <w:sz w:val="24"/>
          <w:szCs w:val="24"/>
        </w:rPr>
        <w:fldChar w:fldCharType="end"/>
      </w:r>
      <w:r>
        <w:rPr>
          <w:sz w:val="24"/>
          <w:szCs w:val="24"/>
        </w:rPr>
        <w:fldChar w:fldCharType="end"/>
      </w:r>
    </w:p>
    <w:p w14:paraId="0BA6F8CB">
      <w:pPr>
        <w:pStyle w:val="9"/>
        <w:tabs>
          <w:tab w:val="right" w:leader="dot" w:pos="9026"/>
        </w:tabs>
        <w:jc w:val="left"/>
        <w:rPr>
          <w:sz w:val="24"/>
          <w:szCs w:val="24"/>
        </w:rPr>
      </w:pPr>
      <w:r>
        <w:rPr>
          <w:sz w:val="24"/>
          <w:szCs w:val="24"/>
        </w:rPr>
        <w:fldChar w:fldCharType="begin"/>
      </w:r>
      <w:r>
        <w:rPr>
          <w:sz w:val="24"/>
          <w:szCs w:val="24"/>
        </w:rPr>
        <w:instrText xml:space="preserve"> HYPERLINK \l _Toc1765694272 </w:instrText>
      </w:r>
      <w:r>
        <w:rPr>
          <w:sz w:val="24"/>
          <w:szCs w:val="24"/>
        </w:rPr>
        <w:fldChar w:fldCharType="separate"/>
      </w:r>
      <w:r>
        <w:rPr>
          <w:rFonts w:ascii="Times New Roman" w:hAnsi="Times New Roman"/>
          <w:bCs/>
          <w:sz w:val="24"/>
          <w:szCs w:val="36"/>
          <w:lang w:val="en-US"/>
        </w:rPr>
        <w:t>四、追溯管理</w:t>
      </w:r>
      <w:r>
        <w:rPr>
          <w:sz w:val="24"/>
          <w:szCs w:val="24"/>
        </w:rPr>
        <w:tab/>
      </w:r>
      <w:r>
        <w:rPr>
          <w:sz w:val="24"/>
          <w:szCs w:val="24"/>
        </w:rPr>
        <w:fldChar w:fldCharType="begin"/>
      </w:r>
      <w:r>
        <w:rPr>
          <w:sz w:val="24"/>
          <w:szCs w:val="24"/>
        </w:rPr>
        <w:instrText xml:space="preserve"> PAGEREF _Toc1765694272 \h </w:instrText>
      </w:r>
      <w:r>
        <w:rPr>
          <w:sz w:val="24"/>
          <w:szCs w:val="24"/>
        </w:rPr>
        <w:fldChar w:fldCharType="separate"/>
      </w:r>
      <w:r>
        <w:rPr>
          <w:sz w:val="24"/>
          <w:szCs w:val="24"/>
        </w:rPr>
        <w:t>5</w:t>
      </w:r>
      <w:r>
        <w:rPr>
          <w:sz w:val="24"/>
          <w:szCs w:val="24"/>
        </w:rPr>
        <w:fldChar w:fldCharType="end"/>
      </w:r>
      <w:r>
        <w:rPr>
          <w:sz w:val="24"/>
          <w:szCs w:val="24"/>
        </w:rPr>
        <w:fldChar w:fldCharType="end"/>
      </w:r>
    </w:p>
    <w:p w14:paraId="1A284675">
      <w:pPr>
        <w:pStyle w:val="9"/>
        <w:tabs>
          <w:tab w:val="right" w:leader="dot" w:pos="9026"/>
        </w:tabs>
        <w:jc w:val="left"/>
        <w:rPr>
          <w:sz w:val="24"/>
          <w:szCs w:val="24"/>
        </w:rPr>
      </w:pPr>
      <w:r>
        <w:rPr>
          <w:sz w:val="24"/>
          <w:szCs w:val="24"/>
        </w:rPr>
        <w:fldChar w:fldCharType="begin"/>
      </w:r>
      <w:r>
        <w:rPr>
          <w:sz w:val="24"/>
          <w:szCs w:val="24"/>
        </w:rPr>
        <w:instrText xml:space="preserve"> HYPERLINK \l _Toc597035234 </w:instrText>
      </w:r>
      <w:r>
        <w:rPr>
          <w:sz w:val="24"/>
          <w:szCs w:val="24"/>
        </w:rPr>
        <w:fldChar w:fldCharType="separate"/>
      </w:r>
      <w:r>
        <w:rPr>
          <w:rFonts w:ascii="Times New Roman" w:hAnsi="Times New Roman"/>
          <w:bCs/>
          <w:sz w:val="24"/>
          <w:szCs w:val="36"/>
          <w:lang w:val="en-US"/>
        </w:rPr>
        <w:t>五、产品放行</w:t>
      </w:r>
      <w:r>
        <w:rPr>
          <w:sz w:val="24"/>
          <w:szCs w:val="24"/>
        </w:rPr>
        <w:tab/>
      </w:r>
      <w:r>
        <w:rPr>
          <w:sz w:val="24"/>
          <w:szCs w:val="24"/>
        </w:rPr>
        <w:fldChar w:fldCharType="begin"/>
      </w:r>
      <w:r>
        <w:rPr>
          <w:sz w:val="24"/>
          <w:szCs w:val="24"/>
        </w:rPr>
        <w:instrText xml:space="preserve"> PAGEREF _Toc597035234 \h </w:instrText>
      </w:r>
      <w:r>
        <w:rPr>
          <w:sz w:val="24"/>
          <w:szCs w:val="24"/>
        </w:rPr>
        <w:fldChar w:fldCharType="separate"/>
      </w:r>
      <w:r>
        <w:rPr>
          <w:sz w:val="24"/>
          <w:szCs w:val="24"/>
        </w:rPr>
        <w:t>6</w:t>
      </w:r>
      <w:r>
        <w:rPr>
          <w:sz w:val="24"/>
          <w:szCs w:val="24"/>
        </w:rPr>
        <w:fldChar w:fldCharType="end"/>
      </w:r>
      <w:r>
        <w:rPr>
          <w:sz w:val="24"/>
          <w:szCs w:val="24"/>
        </w:rPr>
        <w:fldChar w:fldCharType="end"/>
      </w:r>
    </w:p>
    <w:p w14:paraId="0F035CDD">
      <w:pPr>
        <w:pStyle w:val="9"/>
        <w:tabs>
          <w:tab w:val="right" w:leader="dot" w:pos="9026"/>
        </w:tabs>
        <w:jc w:val="left"/>
        <w:rPr>
          <w:sz w:val="24"/>
          <w:szCs w:val="24"/>
        </w:rPr>
      </w:pPr>
      <w:r>
        <w:rPr>
          <w:sz w:val="24"/>
          <w:szCs w:val="24"/>
        </w:rPr>
        <w:fldChar w:fldCharType="begin"/>
      </w:r>
      <w:r>
        <w:rPr>
          <w:sz w:val="24"/>
          <w:szCs w:val="24"/>
        </w:rPr>
        <w:instrText xml:space="preserve"> HYPERLINK \l _Toc695187048 </w:instrText>
      </w:r>
      <w:r>
        <w:rPr>
          <w:sz w:val="24"/>
          <w:szCs w:val="24"/>
        </w:rPr>
        <w:fldChar w:fldCharType="separate"/>
      </w:r>
      <w:r>
        <w:rPr>
          <w:rFonts w:ascii="Times New Roman" w:hAnsi="Times New Roman"/>
          <w:bCs/>
          <w:sz w:val="24"/>
          <w:szCs w:val="36"/>
          <w:lang w:val="en-US"/>
        </w:rPr>
        <w:t>六、安全管理</w:t>
      </w:r>
      <w:r>
        <w:rPr>
          <w:sz w:val="24"/>
          <w:szCs w:val="24"/>
        </w:rPr>
        <w:tab/>
      </w:r>
      <w:r>
        <w:rPr>
          <w:sz w:val="24"/>
          <w:szCs w:val="24"/>
        </w:rPr>
        <w:fldChar w:fldCharType="begin"/>
      </w:r>
      <w:r>
        <w:rPr>
          <w:sz w:val="24"/>
          <w:szCs w:val="24"/>
        </w:rPr>
        <w:instrText xml:space="preserve"> PAGEREF _Toc695187048 \h </w:instrText>
      </w:r>
      <w:r>
        <w:rPr>
          <w:sz w:val="24"/>
          <w:szCs w:val="24"/>
        </w:rPr>
        <w:fldChar w:fldCharType="separate"/>
      </w:r>
      <w:r>
        <w:rPr>
          <w:sz w:val="24"/>
          <w:szCs w:val="24"/>
        </w:rPr>
        <w:t>6</w:t>
      </w:r>
      <w:r>
        <w:rPr>
          <w:sz w:val="24"/>
          <w:szCs w:val="24"/>
        </w:rPr>
        <w:fldChar w:fldCharType="end"/>
      </w:r>
      <w:r>
        <w:rPr>
          <w:sz w:val="24"/>
          <w:szCs w:val="24"/>
        </w:rPr>
        <w:fldChar w:fldCharType="end"/>
      </w:r>
    </w:p>
    <w:p w14:paraId="129C5B25">
      <w:pPr>
        <w:pStyle w:val="15"/>
        <w:tabs>
          <w:tab w:val="right" w:leader="dot" w:pos="9026"/>
        </w:tabs>
        <w:jc w:val="left"/>
        <w:rPr>
          <w:sz w:val="24"/>
          <w:szCs w:val="24"/>
        </w:rPr>
      </w:pPr>
      <w:r>
        <w:rPr>
          <w:sz w:val="24"/>
          <w:szCs w:val="24"/>
        </w:rPr>
        <w:fldChar w:fldCharType="begin"/>
      </w:r>
      <w:r>
        <w:rPr>
          <w:sz w:val="24"/>
          <w:szCs w:val="24"/>
        </w:rPr>
        <w:instrText xml:space="preserve"> HYPERLINK \l _Toc877400383 </w:instrText>
      </w:r>
      <w:r>
        <w:rPr>
          <w:sz w:val="24"/>
          <w:szCs w:val="24"/>
        </w:rPr>
        <w:fldChar w:fldCharType="separate"/>
      </w:r>
      <w:r>
        <w:rPr>
          <w:rFonts w:ascii="Times New Roman" w:hAnsi="Times New Roman"/>
          <w:bCs/>
          <w:sz w:val="24"/>
          <w:szCs w:val="36"/>
          <w:lang w:val="en-US"/>
        </w:rPr>
        <w:t>第三章 经营管理</w:t>
      </w:r>
      <w:r>
        <w:rPr>
          <w:sz w:val="24"/>
          <w:szCs w:val="24"/>
        </w:rPr>
        <w:tab/>
      </w:r>
      <w:r>
        <w:rPr>
          <w:sz w:val="24"/>
          <w:szCs w:val="24"/>
        </w:rPr>
        <w:fldChar w:fldCharType="begin"/>
      </w:r>
      <w:r>
        <w:rPr>
          <w:sz w:val="24"/>
          <w:szCs w:val="24"/>
        </w:rPr>
        <w:instrText xml:space="preserve"> PAGEREF _Toc877400383 \h </w:instrText>
      </w:r>
      <w:r>
        <w:rPr>
          <w:sz w:val="24"/>
          <w:szCs w:val="24"/>
        </w:rPr>
        <w:fldChar w:fldCharType="separate"/>
      </w:r>
      <w:r>
        <w:rPr>
          <w:sz w:val="24"/>
          <w:szCs w:val="24"/>
        </w:rPr>
        <w:t>6</w:t>
      </w:r>
      <w:r>
        <w:rPr>
          <w:sz w:val="24"/>
          <w:szCs w:val="24"/>
        </w:rPr>
        <w:fldChar w:fldCharType="end"/>
      </w:r>
      <w:r>
        <w:rPr>
          <w:sz w:val="24"/>
          <w:szCs w:val="24"/>
        </w:rPr>
        <w:fldChar w:fldCharType="end"/>
      </w:r>
    </w:p>
    <w:p w14:paraId="7B4129A0">
      <w:pPr>
        <w:pStyle w:val="9"/>
        <w:tabs>
          <w:tab w:val="right" w:leader="dot" w:pos="9026"/>
        </w:tabs>
        <w:jc w:val="left"/>
        <w:rPr>
          <w:sz w:val="24"/>
          <w:szCs w:val="24"/>
        </w:rPr>
      </w:pPr>
      <w:r>
        <w:rPr>
          <w:sz w:val="24"/>
          <w:szCs w:val="24"/>
        </w:rPr>
        <w:fldChar w:fldCharType="begin"/>
      </w:r>
      <w:r>
        <w:rPr>
          <w:sz w:val="24"/>
          <w:szCs w:val="24"/>
        </w:rPr>
        <w:instrText xml:space="preserve"> HYPERLINK \l _Toc270891138 </w:instrText>
      </w:r>
      <w:r>
        <w:rPr>
          <w:sz w:val="24"/>
          <w:szCs w:val="24"/>
        </w:rPr>
        <w:fldChar w:fldCharType="separate"/>
      </w:r>
      <w:r>
        <w:rPr>
          <w:rFonts w:ascii="Times New Roman" w:hAnsi="Times New Roman"/>
          <w:bCs/>
          <w:sz w:val="24"/>
          <w:szCs w:val="36"/>
          <w:lang w:val="en-US"/>
        </w:rPr>
        <w:t>一、资质许可</w:t>
      </w:r>
      <w:r>
        <w:rPr>
          <w:sz w:val="24"/>
          <w:szCs w:val="24"/>
        </w:rPr>
        <w:tab/>
      </w:r>
      <w:r>
        <w:rPr>
          <w:sz w:val="24"/>
          <w:szCs w:val="24"/>
        </w:rPr>
        <w:fldChar w:fldCharType="begin"/>
      </w:r>
      <w:r>
        <w:rPr>
          <w:sz w:val="24"/>
          <w:szCs w:val="24"/>
        </w:rPr>
        <w:instrText xml:space="preserve"> PAGEREF _Toc270891138 \h </w:instrText>
      </w:r>
      <w:r>
        <w:rPr>
          <w:sz w:val="24"/>
          <w:szCs w:val="24"/>
        </w:rPr>
        <w:fldChar w:fldCharType="separate"/>
      </w:r>
      <w:r>
        <w:rPr>
          <w:sz w:val="24"/>
          <w:szCs w:val="24"/>
        </w:rPr>
        <w:t>6</w:t>
      </w:r>
      <w:r>
        <w:rPr>
          <w:sz w:val="24"/>
          <w:szCs w:val="24"/>
        </w:rPr>
        <w:fldChar w:fldCharType="end"/>
      </w:r>
      <w:r>
        <w:rPr>
          <w:sz w:val="24"/>
          <w:szCs w:val="24"/>
        </w:rPr>
        <w:fldChar w:fldCharType="end"/>
      </w:r>
    </w:p>
    <w:p w14:paraId="7E672A2D">
      <w:pPr>
        <w:pStyle w:val="9"/>
        <w:tabs>
          <w:tab w:val="right" w:leader="dot" w:pos="9026"/>
        </w:tabs>
        <w:jc w:val="left"/>
        <w:rPr>
          <w:sz w:val="24"/>
          <w:szCs w:val="24"/>
        </w:rPr>
      </w:pPr>
      <w:r>
        <w:rPr>
          <w:sz w:val="24"/>
          <w:szCs w:val="24"/>
        </w:rPr>
        <w:fldChar w:fldCharType="begin"/>
      </w:r>
      <w:r>
        <w:rPr>
          <w:sz w:val="24"/>
          <w:szCs w:val="24"/>
        </w:rPr>
        <w:instrText xml:space="preserve"> HYPERLINK \l _Toc1297017700 </w:instrText>
      </w:r>
      <w:r>
        <w:rPr>
          <w:sz w:val="24"/>
          <w:szCs w:val="24"/>
        </w:rPr>
        <w:fldChar w:fldCharType="separate"/>
      </w:r>
      <w:r>
        <w:rPr>
          <w:rFonts w:ascii="Times New Roman" w:hAnsi="Times New Roman"/>
          <w:bCs/>
          <w:sz w:val="24"/>
          <w:szCs w:val="36"/>
          <w:lang w:val="en-US"/>
        </w:rPr>
        <w:t>二、产品进口</w:t>
      </w:r>
      <w:r>
        <w:rPr>
          <w:sz w:val="24"/>
          <w:szCs w:val="24"/>
        </w:rPr>
        <w:tab/>
      </w:r>
      <w:r>
        <w:rPr>
          <w:sz w:val="24"/>
          <w:szCs w:val="24"/>
        </w:rPr>
        <w:fldChar w:fldCharType="begin"/>
      </w:r>
      <w:r>
        <w:rPr>
          <w:sz w:val="24"/>
          <w:szCs w:val="24"/>
        </w:rPr>
        <w:instrText xml:space="preserve"> PAGEREF _Toc1297017700 \h </w:instrText>
      </w:r>
      <w:r>
        <w:rPr>
          <w:sz w:val="24"/>
          <w:szCs w:val="24"/>
        </w:rPr>
        <w:fldChar w:fldCharType="separate"/>
      </w:r>
      <w:r>
        <w:rPr>
          <w:sz w:val="24"/>
          <w:szCs w:val="24"/>
        </w:rPr>
        <w:t>6</w:t>
      </w:r>
      <w:r>
        <w:rPr>
          <w:sz w:val="24"/>
          <w:szCs w:val="24"/>
        </w:rPr>
        <w:fldChar w:fldCharType="end"/>
      </w:r>
      <w:r>
        <w:rPr>
          <w:sz w:val="24"/>
          <w:szCs w:val="24"/>
        </w:rPr>
        <w:fldChar w:fldCharType="end"/>
      </w:r>
    </w:p>
    <w:p w14:paraId="1D0BA0CD">
      <w:pPr>
        <w:pStyle w:val="9"/>
        <w:tabs>
          <w:tab w:val="right" w:leader="dot" w:pos="9026"/>
        </w:tabs>
        <w:jc w:val="left"/>
        <w:rPr>
          <w:sz w:val="24"/>
          <w:szCs w:val="24"/>
        </w:rPr>
      </w:pPr>
      <w:r>
        <w:rPr>
          <w:sz w:val="24"/>
          <w:szCs w:val="24"/>
        </w:rPr>
        <w:fldChar w:fldCharType="begin"/>
      </w:r>
      <w:r>
        <w:rPr>
          <w:sz w:val="24"/>
          <w:szCs w:val="24"/>
        </w:rPr>
        <w:instrText xml:space="preserve"> HYPERLINK \l _Toc732541868 </w:instrText>
      </w:r>
      <w:r>
        <w:rPr>
          <w:sz w:val="24"/>
          <w:szCs w:val="24"/>
        </w:rPr>
        <w:fldChar w:fldCharType="separate"/>
      </w:r>
      <w:r>
        <w:rPr>
          <w:rFonts w:ascii="Times New Roman" w:hAnsi="Times New Roman"/>
          <w:bCs/>
          <w:sz w:val="24"/>
          <w:szCs w:val="36"/>
          <w:lang w:val="en-US"/>
        </w:rPr>
        <w:t>三、进货查验</w:t>
      </w:r>
      <w:r>
        <w:rPr>
          <w:sz w:val="24"/>
          <w:szCs w:val="24"/>
        </w:rPr>
        <w:tab/>
      </w:r>
      <w:r>
        <w:rPr>
          <w:sz w:val="24"/>
          <w:szCs w:val="24"/>
        </w:rPr>
        <w:fldChar w:fldCharType="begin"/>
      </w:r>
      <w:r>
        <w:rPr>
          <w:sz w:val="24"/>
          <w:szCs w:val="24"/>
        </w:rPr>
        <w:instrText xml:space="preserve"> PAGEREF _Toc732541868 \h </w:instrText>
      </w:r>
      <w:r>
        <w:rPr>
          <w:sz w:val="24"/>
          <w:szCs w:val="24"/>
        </w:rPr>
        <w:fldChar w:fldCharType="separate"/>
      </w:r>
      <w:r>
        <w:rPr>
          <w:sz w:val="24"/>
          <w:szCs w:val="24"/>
        </w:rPr>
        <w:t>7</w:t>
      </w:r>
      <w:r>
        <w:rPr>
          <w:sz w:val="24"/>
          <w:szCs w:val="24"/>
        </w:rPr>
        <w:fldChar w:fldCharType="end"/>
      </w:r>
      <w:r>
        <w:rPr>
          <w:sz w:val="24"/>
          <w:szCs w:val="24"/>
        </w:rPr>
        <w:fldChar w:fldCharType="end"/>
      </w:r>
    </w:p>
    <w:p w14:paraId="5A1411B5">
      <w:pPr>
        <w:pStyle w:val="9"/>
        <w:tabs>
          <w:tab w:val="right" w:leader="dot" w:pos="9026"/>
        </w:tabs>
        <w:jc w:val="left"/>
        <w:rPr>
          <w:sz w:val="24"/>
          <w:szCs w:val="24"/>
        </w:rPr>
      </w:pPr>
      <w:r>
        <w:rPr>
          <w:sz w:val="24"/>
          <w:szCs w:val="24"/>
        </w:rPr>
        <w:fldChar w:fldCharType="begin"/>
      </w:r>
      <w:r>
        <w:rPr>
          <w:sz w:val="24"/>
          <w:szCs w:val="24"/>
        </w:rPr>
        <w:instrText xml:space="preserve"> HYPERLINK \l _Toc1089004335 </w:instrText>
      </w:r>
      <w:r>
        <w:rPr>
          <w:sz w:val="24"/>
          <w:szCs w:val="24"/>
        </w:rPr>
        <w:fldChar w:fldCharType="separate"/>
      </w:r>
      <w:r>
        <w:rPr>
          <w:rFonts w:ascii="Times New Roman" w:hAnsi="Times New Roman"/>
          <w:bCs/>
          <w:sz w:val="24"/>
          <w:szCs w:val="36"/>
          <w:lang w:val="en-US"/>
        </w:rPr>
        <w:t>四、销售管理</w:t>
      </w:r>
      <w:r>
        <w:rPr>
          <w:sz w:val="24"/>
          <w:szCs w:val="24"/>
        </w:rPr>
        <w:tab/>
      </w:r>
      <w:r>
        <w:rPr>
          <w:sz w:val="24"/>
          <w:szCs w:val="24"/>
        </w:rPr>
        <w:fldChar w:fldCharType="begin"/>
      </w:r>
      <w:r>
        <w:rPr>
          <w:sz w:val="24"/>
          <w:szCs w:val="24"/>
        </w:rPr>
        <w:instrText xml:space="preserve"> PAGEREF _Toc1089004335 \h </w:instrText>
      </w:r>
      <w:r>
        <w:rPr>
          <w:sz w:val="24"/>
          <w:szCs w:val="24"/>
        </w:rPr>
        <w:fldChar w:fldCharType="separate"/>
      </w:r>
      <w:r>
        <w:rPr>
          <w:sz w:val="24"/>
          <w:szCs w:val="24"/>
        </w:rPr>
        <w:t>7</w:t>
      </w:r>
      <w:r>
        <w:rPr>
          <w:sz w:val="24"/>
          <w:szCs w:val="24"/>
        </w:rPr>
        <w:fldChar w:fldCharType="end"/>
      </w:r>
      <w:r>
        <w:rPr>
          <w:sz w:val="24"/>
          <w:szCs w:val="24"/>
        </w:rPr>
        <w:fldChar w:fldCharType="end"/>
      </w:r>
    </w:p>
    <w:p w14:paraId="132EFF74">
      <w:pPr>
        <w:pStyle w:val="9"/>
        <w:tabs>
          <w:tab w:val="right" w:leader="dot" w:pos="9026"/>
        </w:tabs>
        <w:jc w:val="left"/>
        <w:rPr>
          <w:sz w:val="24"/>
          <w:szCs w:val="24"/>
        </w:rPr>
      </w:pPr>
      <w:r>
        <w:rPr>
          <w:sz w:val="24"/>
          <w:szCs w:val="24"/>
        </w:rPr>
        <w:fldChar w:fldCharType="begin"/>
      </w:r>
      <w:r>
        <w:rPr>
          <w:sz w:val="24"/>
          <w:szCs w:val="24"/>
        </w:rPr>
        <w:instrText xml:space="preserve"> HYPERLINK \l _Toc954049493 </w:instrText>
      </w:r>
      <w:r>
        <w:rPr>
          <w:sz w:val="24"/>
          <w:szCs w:val="24"/>
        </w:rPr>
        <w:fldChar w:fldCharType="separate"/>
      </w:r>
      <w:r>
        <w:rPr>
          <w:rFonts w:ascii="Times New Roman" w:hAnsi="Times New Roman"/>
          <w:bCs/>
          <w:sz w:val="24"/>
          <w:szCs w:val="36"/>
          <w:lang w:val="en-US"/>
        </w:rPr>
        <w:t>五、推广宣传</w:t>
      </w:r>
      <w:r>
        <w:rPr>
          <w:sz w:val="24"/>
          <w:szCs w:val="24"/>
        </w:rPr>
        <w:tab/>
      </w:r>
      <w:r>
        <w:rPr>
          <w:sz w:val="24"/>
          <w:szCs w:val="24"/>
        </w:rPr>
        <w:fldChar w:fldCharType="begin"/>
      </w:r>
      <w:r>
        <w:rPr>
          <w:sz w:val="24"/>
          <w:szCs w:val="24"/>
        </w:rPr>
        <w:instrText xml:space="preserve"> PAGEREF _Toc954049493 \h </w:instrText>
      </w:r>
      <w:r>
        <w:rPr>
          <w:sz w:val="24"/>
          <w:szCs w:val="24"/>
        </w:rPr>
        <w:fldChar w:fldCharType="separate"/>
      </w:r>
      <w:r>
        <w:rPr>
          <w:sz w:val="24"/>
          <w:szCs w:val="24"/>
        </w:rPr>
        <w:t>7</w:t>
      </w:r>
      <w:r>
        <w:rPr>
          <w:sz w:val="24"/>
          <w:szCs w:val="24"/>
        </w:rPr>
        <w:fldChar w:fldCharType="end"/>
      </w:r>
      <w:r>
        <w:rPr>
          <w:sz w:val="24"/>
          <w:szCs w:val="24"/>
        </w:rPr>
        <w:fldChar w:fldCharType="end"/>
      </w:r>
    </w:p>
    <w:p w14:paraId="76578883">
      <w:pPr>
        <w:pStyle w:val="9"/>
        <w:tabs>
          <w:tab w:val="right" w:leader="dot" w:pos="9026"/>
        </w:tabs>
        <w:jc w:val="left"/>
        <w:rPr>
          <w:sz w:val="24"/>
          <w:szCs w:val="24"/>
        </w:rPr>
      </w:pPr>
      <w:r>
        <w:rPr>
          <w:sz w:val="24"/>
          <w:szCs w:val="24"/>
        </w:rPr>
        <w:fldChar w:fldCharType="begin"/>
      </w:r>
      <w:r>
        <w:rPr>
          <w:sz w:val="24"/>
          <w:szCs w:val="24"/>
        </w:rPr>
        <w:instrText xml:space="preserve"> HYPERLINK \l _Toc1087606461 </w:instrText>
      </w:r>
      <w:r>
        <w:rPr>
          <w:sz w:val="24"/>
          <w:szCs w:val="24"/>
        </w:rPr>
        <w:fldChar w:fldCharType="separate"/>
      </w:r>
      <w:r>
        <w:rPr>
          <w:rFonts w:ascii="Times New Roman" w:hAnsi="Times New Roman"/>
          <w:bCs/>
          <w:sz w:val="24"/>
          <w:szCs w:val="36"/>
          <w:lang w:val="en-US"/>
        </w:rPr>
        <w:t>六、追溯管理</w:t>
      </w:r>
      <w:r>
        <w:rPr>
          <w:sz w:val="24"/>
          <w:szCs w:val="24"/>
        </w:rPr>
        <w:tab/>
      </w:r>
      <w:r>
        <w:rPr>
          <w:sz w:val="24"/>
          <w:szCs w:val="24"/>
        </w:rPr>
        <w:fldChar w:fldCharType="begin"/>
      </w:r>
      <w:r>
        <w:rPr>
          <w:sz w:val="24"/>
          <w:szCs w:val="24"/>
        </w:rPr>
        <w:instrText xml:space="preserve"> PAGEREF _Toc1087606461 \h </w:instrText>
      </w:r>
      <w:r>
        <w:rPr>
          <w:sz w:val="24"/>
          <w:szCs w:val="24"/>
        </w:rPr>
        <w:fldChar w:fldCharType="separate"/>
      </w:r>
      <w:r>
        <w:rPr>
          <w:sz w:val="24"/>
          <w:szCs w:val="24"/>
        </w:rPr>
        <w:t>8</w:t>
      </w:r>
      <w:r>
        <w:rPr>
          <w:sz w:val="24"/>
          <w:szCs w:val="24"/>
        </w:rPr>
        <w:fldChar w:fldCharType="end"/>
      </w:r>
      <w:r>
        <w:rPr>
          <w:sz w:val="24"/>
          <w:szCs w:val="24"/>
        </w:rPr>
        <w:fldChar w:fldCharType="end"/>
      </w:r>
    </w:p>
    <w:p w14:paraId="66AA2D9F">
      <w:pPr>
        <w:pStyle w:val="9"/>
        <w:tabs>
          <w:tab w:val="right" w:leader="dot" w:pos="9026"/>
        </w:tabs>
        <w:jc w:val="left"/>
        <w:rPr>
          <w:sz w:val="24"/>
          <w:szCs w:val="24"/>
        </w:rPr>
      </w:pPr>
      <w:r>
        <w:rPr>
          <w:sz w:val="24"/>
          <w:szCs w:val="24"/>
        </w:rPr>
        <w:fldChar w:fldCharType="begin"/>
      </w:r>
      <w:r>
        <w:rPr>
          <w:sz w:val="24"/>
          <w:szCs w:val="24"/>
        </w:rPr>
        <w:instrText xml:space="preserve"> HYPERLINK \l _Toc99190138 </w:instrText>
      </w:r>
      <w:r>
        <w:rPr>
          <w:sz w:val="24"/>
          <w:szCs w:val="24"/>
        </w:rPr>
        <w:fldChar w:fldCharType="separate"/>
      </w:r>
      <w:r>
        <w:rPr>
          <w:rFonts w:ascii="Times New Roman" w:hAnsi="Times New Roman"/>
          <w:bCs/>
          <w:sz w:val="24"/>
          <w:szCs w:val="36"/>
          <w:lang w:val="en-US"/>
        </w:rPr>
        <w:t>七、储运管理</w:t>
      </w:r>
      <w:r>
        <w:rPr>
          <w:sz w:val="24"/>
          <w:szCs w:val="24"/>
        </w:rPr>
        <w:tab/>
      </w:r>
      <w:r>
        <w:rPr>
          <w:sz w:val="24"/>
          <w:szCs w:val="24"/>
        </w:rPr>
        <w:fldChar w:fldCharType="begin"/>
      </w:r>
      <w:r>
        <w:rPr>
          <w:sz w:val="24"/>
          <w:szCs w:val="24"/>
        </w:rPr>
        <w:instrText xml:space="preserve"> PAGEREF _Toc99190138 \h </w:instrText>
      </w:r>
      <w:r>
        <w:rPr>
          <w:sz w:val="24"/>
          <w:szCs w:val="24"/>
        </w:rPr>
        <w:fldChar w:fldCharType="separate"/>
      </w:r>
      <w:r>
        <w:rPr>
          <w:sz w:val="24"/>
          <w:szCs w:val="24"/>
        </w:rPr>
        <w:t>8</w:t>
      </w:r>
      <w:r>
        <w:rPr>
          <w:sz w:val="24"/>
          <w:szCs w:val="24"/>
        </w:rPr>
        <w:fldChar w:fldCharType="end"/>
      </w:r>
      <w:r>
        <w:rPr>
          <w:sz w:val="24"/>
          <w:szCs w:val="24"/>
        </w:rPr>
        <w:fldChar w:fldCharType="end"/>
      </w:r>
    </w:p>
    <w:p w14:paraId="783B9198">
      <w:pPr>
        <w:pStyle w:val="15"/>
        <w:tabs>
          <w:tab w:val="right" w:leader="dot" w:pos="9026"/>
        </w:tabs>
        <w:jc w:val="left"/>
        <w:rPr>
          <w:sz w:val="24"/>
          <w:szCs w:val="24"/>
        </w:rPr>
      </w:pPr>
      <w:r>
        <w:rPr>
          <w:sz w:val="24"/>
          <w:szCs w:val="24"/>
        </w:rPr>
        <w:fldChar w:fldCharType="begin"/>
      </w:r>
      <w:r>
        <w:rPr>
          <w:sz w:val="24"/>
          <w:szCs w:val="24"/>
        </w:rPr>
        <w:instrText xml:space="preserve"> HYPERLINK \l _Toc487457225 </w:instrText>
      </w:r>
      <w:r>
        <w:rPr>
          <w:sz w:val="24"/>
          <w:szCs w:val="24"/>
        </w:rPr>
        <w:fldChar w:fldCharType="separate"/>
      </w:r>
      <w:r>
        <w:rPr>
          <w:rFonts w:ascii="Times New Roman" w:hAnsi="Times New Roman"/>
          <w:bCs/>
          <w:sz w:val="24"/>
          <w:szCs w:val="36"/>
          <w:lang w:val="en-US"/>
        </w:rPr>
        <w:t>第四章 上市后管理</w:t>
      </w:r>
      <w:r>
        <w:rPr>
          <w:sz w:val="24"/>
          <w:szCs w:val="24"/>
        </w:rPr>
        <w:tab/>
      </w:r>
      <w:r>
        <w:rPr>
          <w:sz w:val="24"/>
          <w:szCs w:val="24"/>
        </w:rPr>
        <w:fldChar w:fldCharType="begin"/>
      </w:r>
      <w:r>
        <w:rPr>
          <w:sz w:val="24"/>
          <w:szCs w:val="24"/>
        </w:rPr>
        <w:instrText xml:space="preserve"> PAGEREF _Toc487457225 \h </w:instrText>
      </w:r>
      <w:r>
        <w:rPr>
          <w:sz w:val="24"/>
          <w:szCs w:val="24"/>
        </w:rPr>
        <w:fldChar w:fldCharType="separate"/>
      </w:r>
      <w:r>
        <w:rPr>
          <w:sz w:val="24"/>
          <w:szCs w:val="24"/>
        </w:rPr>
        <w:t>8</w:t>
      </w:r>
      <w:r>
        <w:rPr>
          <w:sz w:val="24"/>
          <w:szCs w:val="24"/>
        </w:rPr>
        <w:fldChar w:fldCharType="end"/>
      </w:r>
      <w:r>
        <w:rPr>
          <w:sz w:val="24"/>
          <w:szCs w:val="24"/>
        </w:rPr>
        <w:fldChar w:fldCharType="end"/>
      </w:r>
    </w:p>
    <w:p w14:paraId="5C5A9853">
      <w:pPr>
        <w:pStyle w:val="9"/>
        <w:tabs>
          <w:tab w:val="right" w:leader="dot" w:pos="9026"/>
        </w:tabs>
        <w:jc w:val="left"/>
        <w:rPr>
          <w:sz w:val="24"/>
          <w:szCs w:val="24"/>
        </w:rPr>
      </w:pPr>
      <w:r>
        <w:rPr>
          <w:sz w:val="24"/>
          <w:szCs w:val="24"/>
        </w:rPr>
        <w:fldChar w:fldCharType="begin"/>
      </w:r>
      <w:r>
        <w:rPr>
          <w:sz w:val="24"/>
          <w:szCs w:val="24"/>
        </w:rPr>
        <w:instrText xml:space="preserve"> HYPERLINK \l _Toc1778643596 </w:instrText>
      </w:r>
      <w:r>
        <w:rPr>
          <w:sz w:val="24"/>
          <w:szCs w:val="24"/>
        </w:rPr>
        <w:fldChar w:fldCharType="separate"/>
      </w:r>
      <w:r>
        <w:rPr>
          <w:rFonts w:ascii="Times New Roman" w:hAnsi="Times New Roman"/>
          <w:bCs/>
          <w:sz w:val="24"/>
          <w:szCs w:val="36"/>
          <w:lang w:val="en-US"/>
        </w:rPr>
        <w:t>一、不良事件监测</w:t>
      </w:r>
      <w:r>
        <w:rPr>
          <w:sz w:val="24"/>
          <w:szCs w:val="24"/>
        </w:rPr>
        <w:tab/>
      </w:r>
      <w:r>
        <w:rPr>
          <w:sz w:val="24"/>
          <w:szCs w:val="24"/>
        </w:rPr>
        <w:fldChar w:fldCharType="begin"/>
      </w:r>
      <w:r>
        <w:rPr>
          <w:sz w:val="24"/>
          <w:szCs w:val="24"/>
        </w:rPr>
        <w:instrText xml:space="preserve"> PAGEREF _Toc1778643596 \h </w:instrText>
      </w:r>
      <w:r>
        <w:rPr>
          <w:sz w:val="24"/>
          <w:szCs w:val="24"/>
        </w:rPr>
        <w:fldChar w:fldCharType="separate"/>
      </w:r>
      <w:r>
        <w:rPr>
          <w:sz w:val="24"/>
          <w:szCs w:val="24"/>
        </w:rPr>
        <w:t>8</w:t>
      </w:r>
      <w:r>
        <w:rPr>
          <w:sz w:val="24"/>
          <w:szCs w:val="24"/>
        </w:rPr>
        <w:fldChar w:fldCharType="end"/>
      </w:r>
      <w:r>
        <w:rPr>
          <w:sz w:val="24"/>
          <w:szCs w:val="24"/>
        </w:rPr>
        <w:fldChar w:fldCharType="end"/>
      </w:r>
    </w:p>
    <w:p w14:paraId="10DF118A">
      <w:pPr>
        <w:pStyle w:val="9"/>
        <w:tabs>
          <w:tab w:val="right" w:leader="dot" w:pos="9026"/>
        </w:tabs>
        <w:jc w:val="left"/>
        <w:rPr>
          <w:sz w:val="24"/>
          <w:szCs w:val="24"/>
        </w:rPr>
      </w:pPr>
      <w:r>
        <w:rPr>
          <w:sz w:val="24"/>
          <w:szCs w:val="24"/>
        </w:rPr>
        <w:fldChar w:fldCharType="begin"/>
      </w:r>
      <w:r>
        <w:rPr>
          <w:sz w:val="24"/>
          <w:szCs w:val="24"/>
        </w:rPr>
        <w:instrText xml:space="preserve"> HYPERLINK \l _Toc653850647 </w:instrText>
      </w:r>
      <w:r>
        <w:rPr>
          <w:sz w:val="24"/>
          <w:szCs w:val="24"/>
        </w:rPr>
        <w:fldChar w:fldCharType="separate"/>
      </w:r>
      <w:r>
        <w:rPr>
          <w:rFonts w:ascii="Times New Roman" w:hAnsi="Times New Roman"/>
          <w:bCs/>
          <w:sz w:val="24"/>
          <w:szCs w:val="36"/>
          <w:lang w:val="en-US"/>
        </w:rPr>
        <w:t>二、召回管理</w:t>
      </w:r>
      <w:r>
        <w:rPr>
          <w:sz w:val="24"/>
          <w:szCs w:val="24"/>
        </w:rPr>
        <w:tab/>
      </w:r>
      <w:r>
        <w:rPr>
          <w:sz w:val="24"/>
          <w:szCs w:val="24"/>
        </w:rPr>
        <w:fldChar w:fldCharType="begin"/>
      </w:r>
      <w:r>
        <w:rPr>
          <w:sz w:val="24"/>
          <w:szCs w:val="24"/>
        </w:rPr>
        <w:instrText xml:space="preserve"> PAGEREF _Toc653850647 \h </w:instrText>
      </w:r>
      <w:r>
        <w:rPr>
          <w:sz w:val="24"/>
          <w:szCs w:val="24"/>
        </w:rPr>
        <w:fldChar w:fldCharType="separate"/>
      </w:r>
      <w:r>
        <w:rPr>
          <w:sz w:val="24"/>
          <w:szCs w:val="24"/>
        </w:rPr>
        <w:t>9</w:t>
      </w:r>
      <w:r>
        <w:rPr>
          <w:sz w:val="24"/>
          <w:szCs w:val="24"/>
        </w:rPr>
        <w:fldChar w:fldCharType="end"/>
      </w:r>
      <w:r>
        <w:rPr>
          <w:sz w:val="24"/>
          <w:szCs w:val="24"/>
        </w:rPr>
        <w:fldChar w:fldCharType="end"/>
      </w:r>
    </w:p>
    <w:p w14:paraId="1526A4A3">
      <w:pPr>
        <w:pStyle w:val="9"/>
        <w:tabs>
          <w:tab w:val="right" w:leader="dot" w:pos="9026"/>
        </w:tabs>
        <w:jc w:val="left"/>
        <w:rPr>
          <w:sz w:val="24"/>
          <w:szCs w:val="24"/>
        </w:rPr>
      </w:pPr>
      <w:r>
        <w:rPr>
          <w:sz w:val="24"/>
          <w:szCs w:val="24"/>
        </w:rPr>
        <w:fldChar w:fldCharType="begin"/>
      </w:r>
      <w:r>
        <w:rPr>
          <w:sz w:val="24"/>
          <w:szCs w:val="24"/>
        </w:rPr>
        <w:instrText xml:space="preserve"> HYPERLINK \l _Toc1964946254 </w:instrText>
      </w:r>
      <w:r>
        <w:rPr>
          <w:sz w:val="24"/>
          <w:szCs w:val="24"/>
        </w:rPr>
        <w:fldChar w:fldCharType="separate"/>
      </w:r>
      <w:r>
        <w:rPr>
          <w:rFonts w:ascii="Times New Roman" w:hAnsi="Times New Roman"/>
          <w:bCs/>
          <w:sz w:val="24"/>
          <w:szCs w:val="36"/>
          <w:lang w:val="en-US"/>
        </w:rPr>
        <w:t>三、年度报告与信息更新</w:t>
      </w:r>
      <w:r>
        <w:rPr>
          <w:sz w:val="24"/>
          <w:szCs w:val="24"/>
        </w:rPr>
        <w:tab/>
      </w:r>
      <w:r>
        <w:rPr>
          <w:sz w:val="24"/>
          <w:szCs w:val="24"/>
        </w:rPr>
        <w:fldChar w:fldCharType="begin"/>
      </w:r>
      <w:r>
        <w:rPr>
          <w:sz w:val="24"/>
          <w:szCs w:val="24"/>
        </w:rPr>
        <w:instrText xml:space="preserve"> PAGEREF _Toc1964946254 \h </w:instrText>
      </w:r>
      <w:r>
        <w:rPr>
          <w:sz w:val="24"/>
          <w:szCs w:val="24"/>
        </w:rPr>
        <w:fldChar w:fldCharType="separate"/>
      </w:r>
      <w:r>
        <w:rPr>
          <w:sz w:val="24"/>
          <w:szCs w:val="24"/>
        </w:rPr>
        <w:t>9</w:t>
      </w:r>
      <w:r>
        <w:rPr>
          <w:sz w:val="24"/>
          <w:szCs w:val="24"/>
        </w:rPr>
        <w:fldChar w:fldCharType="end"/>
      </w:r>
      <w:r>
        <w:rPr>
          <w:sz w:val="24"/>
          <w:szCs w:val="24"/>
        </w:rPr>
        <w:fldChar w:fldCharType="end"/>
      </w:r>
    </w:p>
    <w:p w14:paraId="05C32883">
      <w:pPr>
        <w:pStyle w:val="9"/>
        <w:tabs>
          <w:tab w:val="right" w:leader="dot" w:pos="9026"/>
        </w:tabs>
        <w:jc w:val="left"/>
        <w:rPr>
          <w:sz w:val="24"/>
          <w:szCs w:val="24"/>
        </w:rPr>
      </w:pPr>
      <w:r>
        <w:rPr>
          <w:sz w:val="24"/>
          <w:szCs w:val="24"/>
        </w:rPr>
        <w:fldChar w:fldCharType="begin"/>
      </w:r>
      <w:r>
        <w:rPr>
          <w:sz w:val="24"/>
          <w:szCs w:val="24"/>
        </w:rPr>
        <w:instrText xml:space="preserve"> HYPERLINK \l _Toc1496282678 </w:instrText>
      </w:r>
      <w:r>
        <w:rPr>
          <w:sz w:val="24"/>
          <w:szCs w:val="24"/>
        </w:rPr>
        <w:fldChar w:fldCharType="separate"/>
      </w:r>
      <w:r>
        <w:rPr>
          <w:rFonts w:ascii="Times New Roman" w:hAnsi="Times New Roman"/>
          <w:bCs/>
          <w:sz w:val="24"/>
          <w:szCs w:val="36"/>
          <w:lang w:val="en-US"/>
        </w:rPr>
        <w:t>四、监督配合</w:t>
      </w:r>
      <w:r>
        <w:rPr>
          <w:sz w:val="24"/>
          <w:szCs w:val="24"/>
        </w:rPr>
        <w:tab/>
      </w:r>
      <w:r>
        <w:rPr>
          <w:sz w:val="24"/>
          <w:szCs w:val="24"/>
        </w:rPr>
        <w:fldChar w:fldCharType="begin"/>
      </w:r>
      <w:r>
        <w:rPr>
          <w:sz w:val="24"/>
          <w:szCs w:val="24"/>
        </w:rPr>
        <w:instrText xml:space="preserve"> PAGEREF _Toc1496282678 \h </w:instrText>
      </w:r>
      <w:r>
        <w:rPr>
          <w:sz w:val="24"/>
          <w:szCs w:val="24"/>
        </w:rPr>
        <w:fldChar w:fldCharType="separate"/>
      </w:r>
      <w:r>
        <w:rPr>
          <w:sz w:val="24"/>
          <w:szCs w:val="24"/>
        </w:rPr>
        <w:t>10</w:t>
      </w:r>
      <w:r>
        <w:rPr>
          <w:sz w:val="24"/>
          <w:szCs w:val="24"/>
        </w:rPr>
        <w:fldChar w:fldCharType="end"/>
      </w:r>
      <w:r>
        <w:rPr>
          <w:sz w:val="24"/>
          <w:szCs w:val="24"/>
        </w:rPr>
        <w:fldChar w:fldCharType="end"/>
      </w:r>
    </w:p>
    <w:p w14:paraId="4B31B858">
      <w:pPr>
        <w:pStyle w:val="15"/>
        <w:tabs>
          <w:tab w:val="right" w:leader="dot" w:pos="9026"/>
        </w:tabs>
        <w:jc w:val="left"/>
        <w:rPr>
          <w:sz w:val="24"/>
          <w:szCs w:val="24"/>
        </w:rPr>
      </w:pPr>
      <w:r>
        <w:rPr>
          <w:sz w:val="24"/>
          <w:szCs w:val="24"/>
        </w:rPr>
        <w:fldChar w:fldCharType="begin"/>
      </w:r>
      <w:r>
        <w:rPr>
          <w:sz w:val="24"/>
          <w:szCs w:val="24"/>
        </w:rPr>
        <w:instrText xml:space="preserve"> HYPERLINK \l _Toc644481127 </w:instrText>
      </w:r>
      <w:r>
        <w:rPr>
          <w:sz w:val="24"/>
          <w:szCs w:val="24"/>
        </w:rPr>
        <w:fldChar w:fldCharType="separate"/>
      </w:r>
      <w:r>
        <w:rPr>
          <w:rFonts w:ascii="Times New Roman" w:hAnsi="Times New Roman"/>
          <w:bCs/>
          <w:sz w:val="24"/>
          <w:szCs w:val="36"/>
          <w:lang w:val="en-US"/>
        </w:rPr>
        <w:t>第五章 合规管理</w:t>
      </w:r>
      <w:r>
        <w:rPr>
          <w:sz w:val="24"/>
          <w:szCs w:val="24"/>
        </w:rPr>
        <w:tab/>
      </w:r>
      <w:r>
        <w:rPr>
          <w:sz w:val="24"/>
          <w:szCs w:val="24"/>
        </w:rPr>
        <w:fldChar w:fldCharType="begin"/>
      </w:r>
      <w:r>
        <w:rPr>
          <w:sz w:val="24"/>
          <w:szCs w:val="24"/>
        </w:rPr>
        <w:instrText xml:space="preserve"> PAGEREF _Toc644481127 \h </w:instrText>
      </w:r>
      <w:r>
        <w:rPr>
          <w:sz w:val="24"/>
          <w:szCs w:val="24"/>
        </w:rPr>
        <w:fldChar w:fldCharType="separate"/>
      </w:r>
      <w:r>
        <w:rPr>
          <w:sz w:val="24"/>
          <w:szCs w:val="24"/>
        </w:rPr>
        <w:t>10</w:t>
      </w:r>
      <w:r>
        <w:rPr>
          <w:sz w:val="24"/>
          <w:szCs w:val="24"/>
        </w:rPr>
        <w:fldChar w:fldCharType="end"/>
      </w:r>
      <w:r>
        <w:rPr>
          <w:sz w:val="24"/>
          <w:szCs w:val="24"/>
        </w:rPr>
        <w:fldChar w:fldCharType="end"/>
      </w:r>
    </w:p>
    <w:p w14:paraId="7B9F7F80">
      <w:pPr>
        <w:pStyle w:val="9"/>
        <w:tabs>
          <w:tab w:val="right" w:leader="dot" w:pos="9026"/>
        </w:tabs>
        <w:jc w:val="left"/>
        <w:rPr>
          <w:sz w:val="24"/>
          <w:szCs w:val="24"/>
        </w:rPr>
      </w:pPr>
      <w:r>
        <w:rPr>
          <w:sz w:val="24"/>
          <w:szCs w:val="24"/>
        </w:rPr>
        <w:fldChar w:fldCharType="begin"/>
      </w:r>
      <w:r>
        <w:rPr>
          <w:sz w:val="24"/>
          <w:szCs w:val="24"/>
        </w:rPr>
        <w:instrText xml:space="preserve"> HYPERLINK \l _Toc1756588627 </w:instrText>
      </w:r>
      <w:r>
        <w:rPr>
          <w:sz w:val="24"/>
          <w:szCs w:val="24"/>
        </w:rPr>
        <w:fldChar w:fldCharType="separate"/>
      </w:r>
      <w:r>
        <w:rPr>
          <w:rFonts w:ascii="Times New Roman" w:hAnsi="Times New Roman"/>
          <w:bCs/>
          <w:sz w:val="24"/>
          <w:szCs w:val="36"/>
          <w:lang w:val="en-US"/>
        </w:rPr>
        <w:t>一、知识产权合规</w:t>
      </w:r>
      <w:r>
        <w:rPr>
          <w:sz w:val="24"/>
          <w:szCs w:val="24"/>
        </w:rPr>
        <w:tab/>
      </w:r>
      <w:r>
        <w:rPr>
          <w:sz w:val="24"/>
          <w:szCs w:val="24"/>
        </w:rPr>
        <w:fldChar w:fldCharType="begin"/>
      </w:r>
      <w:r>
        <w:rPr>
          <w:sz w:val="24"/>
          <w:szCs w:val="24"/>
        </w:rPr>
        <w:instrText xml:space="preserve"> PAGEREF _Toc1756588627 \h </w:instrText>
      </w:r>
      <w:r>
        <w:rPr>
          <w:sz w:val="24"/>
          <w:szCs w:val="24"/>
        </w:rPr>
        <w:fldChar w:fldCharType="separate"/>
      </w:r>
      <w:r>
        <w:rPr>
          <w:sz w:val="24"/>
          <w:szCs w:val="24"/>
        </w:rPr>
        <w:t>10</w:t>
      </w:r>
      <w:r>
        <w:rPr>
          <w:sz w:val="24"/>
          <w:szCs w:val="24"/>
        </w:rPr>
        <w:fldChar w:fldCharType="end"/>
      </w:r>
      <w:r>
        <w:rPr>
          <w:sz w:val="24"/>
          <w:szCs w:val="24"/>
        </w:rPr>
        <w:fldChar w:fldCharType="end"/>
      </w:r>
    </w:p>
    <w:p w14:paraId="70A61F73">
      <w:pPr>
        <w:pStyle w:val="9"/>
        <w:tabs>
          <w:tab w:val="right" w:leader="dot" w:pos="9026"/>
        </w:tabs>
        <w:jc w:val="left"/>
        <w:rPr>
          <w:sz w:val="24"/>
          <w:szCs w:val="24"/>
        </w:rPr>
      </w:pPr>
      <w:r>
        <w:rPr>
          <w:sz w:val="24"/>
          <w:szCs w:val="24"/>
        </w:rPr>
        <w:fldChar w:fldCharType="begin"/>
      </w:r>
      <w:r>
        <w:rPr>
          <w:sz w:val="24"/>
          <w:szCs w:val="24"/>
        </w:rPr>
        <w:instrText xml:space="preserve"> HYPERLINK \l _Toc583866165 </w:instrText>
      </w:r>
      <w:r>
        <w:rPr>
          <w:sz w:val="24"/>
          <w:szCs w:val="24"/>
        </w:rPr>
        <w:fldChar w:fldCharType="separate"/>
      </w:r>
      <w:r>
        <w:rPr>
          <w:rFonts w:ascii="Times New Roman" w:hAnsi="Times New Roman"/>
          <w:bCs/>
          <w:sz w:val="24"/>
          <w:szCs w:val="36"/>
          <w:lang w:val="en-US"/>
        </w:rPr>
        <w:t>二、数据合规</w:t>
      </w:r>
      <w:r>
        <w:rPr>
          <w:sz w:val="24"/>
          <w:szCs w:val="24"/>
        </w:rPr>
        <w:tab/>
      </w:r>
      <w:r>
        <w:rPr>
          <w:sz w:val="24"/>
          <w:szCs w:val="24"/>
        </w:rPr>
        <w:fldChar w:fldCharType="begin"/>
      </w:r>
      <w:r>
        <w:rPr>
          <w:sz w:val="24"/>
          <w:szCs w:val="24"/>
        </w:rPr>
        <w:instrText xml:space="preserve"> PAGEREF _Toc583866165 \h </w:instrText>
      </w:r>
      <w:r>
        <w:rPr>
          <w:sz w:val="24"/>
          <w:szCs w:val="24"/>
        </w:rPr>
        <w:fldChar w:fldCharType="separate"/>
      </w:r>
      <w:r>
        <w:rPr>
          <w:sz w:val="24"/>
          <w:szCs w:val="24"/>
        </w:rPr>
        <w:t>10</w:t>
      </w:r>
      <w:r>
        <w:rPr>
          <w:sz w:val="24"/>
          <w:szCs w:val="24"/>
        </w:rPr>
        <w:fldChar w:fldCharType="end"/>
      </w:r>
      <w:r>
        <w:rPr>
          <w:sz w:val="24"/>
          <w:szCs w:val="24"/>
        </w:rPr>
        <w:fldChar w:fldCharType="end"/>
      </w:r>
    </w:p>
    <w:p w14:paraId="25558F91">
      <w:pPr>
        <w:pStyle w:val="9"/>
        <w:tabs>
          <w:tab w:val="right" w:leader="dot" w:pos="9026"/>
        </w:tabs>
        <w:jc w:val="left"/>
        <w:rPr>
          <w:sz w:val="24"/>
          <w:szCs w:val="24"/>
        </w:rPr>
      </w:pPr>
      <w:r>
        <w:rPr>
          <w:sz w:val="24"/>
          <w:szCs w:val="24"/>
        </w:rPr>
        <w:fldChar w:fldCharType="begin"/>
      </w:r>
      <w:r>
        <w:rPr>
          <w:sz w:val="24"/>
          <w:szCs w:val="24"/>
        </w:rPr>
        <w:instrText xml:space="preserve"> HYPERLINK \l _Toc43770390 </w:instrText>
      </w:r>
      <w:r>
        <w:rPr>
          <w:sz w:val="24"/>
          <w:szCs w:val="24"/>
        </w:rPr>
        <w:fldChar w:fldCharType="separate"/>
      </w:r>
      <w:r>
        <w:rPr>
          <w:rFonts w:ascii="Times New Roman" w:hAnsi="Times New Roman"/>
          <w:bCs/>
          <w:sz w:val="24"/>
          <w:szCs w:val="36"/>
          <w:lang w:val="en-US"/>
        </w:rPr>
        <w:t>三、反垄断</w:t>
      </w:r>
      <w:r>
        <w:rPr>
          <w:sz w:val="24"/>
          <w:szCs w:val="24"/>
        </w:rPr>
        <w:tab/>
      </w:r>
      <w:r>
        <w:rPr>
          <w:sz w:val="24"/>
          <w:szCs w:val="24"/>
        </w:rPr>
        <w:fldChar w:fldCharType="begin"/>
      </w:r>
      <w:r>
        <w:rPr>
          <w:sz w:val="24"/>
          <w:szCs w:val="24"/>
        </w:rPr>
        <w:instrText xml:space="preserve"> PAGEREF _Toc43770390 \h </w:instrText>
      </w:r>
      <w:r>
        <w:rPr>
          <w:sz w:val="24"/>
          <w:szCs w:val="24"/>
        </w:rPr>
        <w:fldChar w:fldCharType="separate"/>
      </w:r>
      <w:r>
        <w:rPr>
          <w:sz w:val="24"/>
          <w:szCs w:val="24"/>
        </w:rPr>
        <w:t>11</w:t>
      </w:r>
      <w:r>
        <w:rPr>
          <w:sz w:val="24"/>
          <w:szCs w:val="24"/>
        </w:rPr>
        <w:fldChar w:fldCharType="end"/>
      </w:r>
      <w:r>
        <w:rPr>
          <w:sz w:val="24"/>
          <w:szCs w:val="24"/>
        </w:rPr>
        <w:fldChar w:fldCharType="end"/>
      </w:r>
    </w:p>
    <w:p w14:paraId="7481B8EC">
      <w:pPr>
        <w:pStyle w:val="9"/>
        <w:tabs>
          <w:tab w:val="right" w:leader="dot" w:pos="9026"/>
        </w:tabs>
        <w:jc w:val="left"/>
        <w:rPr>
          <w:sz w:val="24"/>
          <w:szCs w:val="24"/>
        </w:rPr>
      </w:pPr>
      <w:r>
        <w:rPr>
          <w:sz w:val="24"/>
          <w:szCs w:val="24"/>
        </w:rPr>
        <w:fldChar w:fldCharType="begin"/>
      </w:r>
      <w:r>
        <w:rPr>
          <w:sz w:val="24"/>
          <w:szCs w:val="24"/>
        </w:rPr>
        <w:instrText xml:space="preserve"> HYPERLINK \l _Toc1980262769 </w:instrText>
      </w:r>
      <w:r>
        <w:rPr>
          <w:sz w:val="24"/>
          <w:szCs w:val="24"/>
        </w:rPr>
        <w:fldChar w:fldCharType="separate"/>
      </w:r>
      <w:r>
        <w:rPr>
          <w:rFonts w:ascii="Times New Roman" w:hAnsi="Times New Roman"/>
          <w:bCs/>
          <w:sz w:val="24"/>
          <w:szCs w:val="36"/>
          <w:lang w:val="en-US"/>
        </w:rPr>
        <w:t>四、反不正当竞争</w:t>
      </w:r>
      <w:r>
        <w:rPr>
          <w:sz w:val="24"/>
          <w:szCs w:val="24"/>
        </w:rPr>
        <w:tab/>
      </w:r>
      <w:r>
        <w:rPr>
          <w:sz w:val="24"/>
          <w:szCs w:val="24"/>
        </w:rPr>
        <w:fldChar w:fldCharType="begin"/>
      </w:r>
      <w:r>
        <w:rPr>
          <w:sz w:val="24"/>
          <w:szCs w:val="24"/>
        </w:rPr>
        <w:instrText xml:space="preserve"> PAGEREF _Toc1980262769 \h </w:instrText>
      </w:r>
      <w:r>
        <w:rPr>
          <w:sz w:val="24"/>
          <w:szCs w:val="24"/>
        </w:rPr>
        <w:fldChar w:fldCharType="separate"/>
      </w:r>
      <w:r>
        <w:rPr>
          <w:sz w:val="24"/>
          <w:szCs w:val="24"/>
        </w:rPr>
        <w:t>11</w:t>
      </w:r>
      <w:r>
        <w:rPr>
          <w:sz w:val="24"/>
          <w:szCs w:val="24"/>
        </w:rPr>
        <w:fldChar w:fldCharType="end"/>
      </w:r>
      <w:r>
        <w:rPr>
          <w:sz w:val="24"/>
          <w:szCs w:val="24"/>
        </w:rPr>
        <w:fldChar w:fldCharType="end"/>
      </w:r>
    </w:p>
    <w:p w14:paraId="39B3D6B0">
      <w:pPr>
        <w:pStyle w:val="15"/>
        <w:tabs>
          <w:tab w:val="right" w:leader="dot" w:pos="9026"/>
        </w:tabs>
        <w:jc w:val="left"/>
        <w:rPr>
          <w:sz w:val="24"/>
          <w:szCs w:val="24"/>
        </w:rPr>
      </w:pPr>
      <w:r>
        <w:rPr>
          <w:sz w:val="24"/>
          <w:szCs w:val="24"/>
        </w:rPr>
        <w:fldChar w:fldCharType="begin"/>
      </w:r>
      <w:r>
        <w:rPr>
          <w:sz w:val="24"/>
          <w:szCs w:val="24"/>
        </w:rPr>
        <w:instrText xml:space="preserve"> HYPERLINK \l _Toc366412003 </w:instrText>
      </w:r>
      <w:r>
        <w:rPr>
          <w:sz w:val="24"/>
          <w:szCs w:val="24"/>
        </w:rPr>
        <w:fldChar w:fldCharType="separate"/>
      </w:r>
      <w:r>
        <w:rPr>
          <w:rFonts w:ascii="Times New Roman" w:hAnsi="Times New Roman"/>
          <w:bCs/>
          <w:sz w:val="24"/>
          <w:szCs w:val="36"/>
          <w:lang w:val="en-US"/>
        </w:rPr>
        <w:t>第六章 生态保护管理</w:t>
      </w:r>
      <w:r>
        <w:rPr>
          <w:sz w:val="24"/>
          <w:szCs w:val="24"/>
        </w:rPr>
        <w:tab/>
      </w:r>
      <w:r>
        <w:rPr>
          <w:sz w:val="24"/>
          <w:szCs w:val="24"/>
        </w:rPr>
        <w:fldChar w:fldCharType="begin"/>
      </w:r>
      <w:r>
        <w:rPr>
          <w:sz w:val="24"/>
          <w:szCs w:val="24"/>
        </w:rPr>
        <w:instrText xml:space="preserve"> PAGEREF _Toc366412003 \h </w:instrText>
      </w:r>
      <w:r>
        <w:rPr>
          <w:sz w:val="24"/>
          <w:szCs w:val="24"/>
        </w:rPr>
        <w:fldChar w:fldCharType="separate"/>
      </w:r>
      <w:r>
        <w:rPr>
          <w:sz w:val="24"/>
          <w:szCs w:val="24"/>
        </w:rPr>
        <w:t>11</w:t>
      </w:r>
      <w:r>
        <w:rPr>
          <w:sz w:val="24"/>
          <w:szCs w:val="24"/>
        </w:rPr>
        <w:fldChar w:fldCharType="end"/>
      </w:r>
      <w:r>
        <w:rPr>
          <w:sz w:val="24"/>
          <w:szCs w:val="24"/>
        </w:rPr>
        <w:fldChar w:fldCharType="end"/>
      </w:r>
    </w:p>
    <w:p w14:paraId="49D8A3A5">
      <w:pPr>
        <w:pStyle w:val="9"/>
        <w:tabs>
          <w:tab w:val="right" w:leader="dot" w:pos="9026"/>
        </w:tabs>
        <w:jc w:val="left"/>
        <w:rPr>
          <w:sz w:val="24"/>
          <w:szCs w:val="24"/>
        </w:rPr>
      </w:pPr>
      <w:r>
        <w:rPr>
          <w:sz w:val="24"/>
          <w:szCs w:val="24"/>
        </w:rPr>
        <w:fldChar w:fldCharType="begin"/>
      </w:r>
      <w:r>
        <w:rPr>
          <w:sz w:val="24"/>
          <w:szCs w:val="24"/>
        </w:rPr>
        <w:instrText xml:space="preserve"> HYPERLINK \l _Toc403354859 </w:instrText>
      </w:r>
      <w:r>
        <w:rPr>
          <w:sz w:val="24"/>
          <w:szCs w:val="24"/>
        </w:rPr>
        <w:fldChar w:fldCharType="separate"/>
      </w:r>
      <w:r>
        <w:rPr>
          <w:rFonts w:ascii="Times New Roman" w:hAnsi="Times New Roman"/>
          <w:bCs/>
          <w:sz w:val="24"/>
          <w:szCs w:val="36"/>
          <w:lang w:val="en-US"/>
        </w:rPr>
        <w:t>一、环境评价</w:t>
      </w:r>
      <w:r>
        <w:rPr>
          <w:sz w:val="24"/>
          <w:szCs w:val="24"/>
        </w:rPr>
        <w:tab/>
      </w:r>
      <w:r>
        <w:rPr>
          <w:sz w:val="24"/>
          <w:szCs w:val="24"/>
        </w:rPr>
        <w:fldChar w:fldCharType="begin"/>
      </w:r>
      <w:r>
        <w:rPr>
          <w:sz w:val="24"/>
          <w:szCs w:val="24"/>
        </w:rPr>
        <w:instrText xml:space="preserve"> PAGEREF _Toc403354859 \h </w:instrText>
      </w:r>
      <w:r>
        <w:rPr>
          <w:sz w:val="24"/>
          <w:szCs w:val="24"/>
        </w:rPr>
        <w:fldChar w:fldCharType="separate"/>
      </w:r>
      <w:r>
        <w:rPr>
          <w:sz w:val="24"/>
          <w:szCs w:val="24"/>
        </w:rPr>
        <w:t>11</w:t>
      </w:r>
      <w:r>
        <w:rPr>
          <w:sz w:val="24"/>
          <w:szCs w:val="24"/>
        </w:rPr>
        <w:fldChar w:fldCharType="end"/>
      </w:r>
      <w:r>
        <w:rPr>
          <w:sz w:val="24"/>
          <w:szCs w:val="24"/>
        </w:rPr>
        <w:fldChar w:fldCharType="end"/>
      </w:r>
    </w:p>
    <w:p w14:paraId="44DA5687">
      <w:pPr>
        <w:pStyle w:val="9"/>
        <w:tabs>
          <w:tab w:val="right" w:leader="dot" w:pos="9026"/>
        </w:tabs>
        <w:jc w:val="left"/>
        <w:rPr>
          <w:sz w:val="24"/>
          <w:szCs w:val="24"/>
        </w:rPr>
      </w:pPr>
      <w:r>
        <w:rPr>
          <w:sz w:val="24"/>
          <w:szCs w:val="24"/>
        </w:rPr>
        <w:fldChar w:fldCharType="begin"/>
      </w:r>
      <w:r>
        <w:rPr>
          <w:sz w:val="24"/>
          <w:szCs w:val="24"/>
        </w:rPr>
        <w:instrText xml:space="preserve"> HYPERLINK \l _Toc288190063 </w:instrText>
      </w:r>
      <w:r>
        <w:rPr>
          <w:sz w:val="24"/>
          <w:szCs w:val="24"/>
        </w:rPr>
        <w:fldChar w:fldCharType="separate"/>
      </w:r>
      <w:r>
        <w:rPr>
          <w:rFonts w:ascii="Times New Roman" w:hAnsi="Times New Roman"/>
          <w:bCs/>
          <w:sz w:val="24"/>
          <w:szCs w:val="36"/>
          <w:lang w:val="en-US"/>
        </w:rPr>
        <w:t>二、固废处置</w:t>
      </w:r>
      <w:r>
        <w:rPr>
          <w:sz w:val="24"/>
          <w:szCs w:val="24"/>
        </w:rPr>
        <w:tab/>
      </w:r>
      <w:r>
        <w:rPr>
          <w:sz w:val="24"/>
          <w:szCs w:val="24"/>
        </w:rPr>
        <w:fldChar w:fldCharType="begin"/>
      </w:r>
      <w:r>
        <w:rPr>
          <w:sz w:val="24"/>
          <w:szCs w:val="24"/>
        </w:rPr>
        <w:instrText xml:space="preserve"> PAGEREF _Toc288190063 \h </w:instrText>
      </w:r>
      <w:r>
        <w:rPr>
          <w:sz w:val="24"/>
          <w:szCs w:val="24"/>
        </w:rPr>
        <w:fldChar w:fldCharType="separate"/>
      </w:r>
      <w:r>
        <w:rPr>
          <w:sz w:val="24"/>
          <w:szCs w:val="24"/>
        </w:rPr>
        <w:t>12</w:t>
      </w:r>
      <w:r>
        <w:rPr>
          <w:sz w:val="24"/>
          <w:szCs w:val="24"/>
        </w:rPr>
        <w:fldChar w:fldCharType="end"/>
      </w:r>
      <w:r>
        <w:rPr>
          <w:sz w:val="24"/>
          <w:szCs w:val="24"/>
        </w:rPr>
        <w:fldChar w:fldCharType="end"/>
      </w:r>
    </w:p>
    <w:p w14:paraId="6040CE66">
      <w:pPr>
        <w:pStyle w:val="9"/>
        <w:tabs>
          <w:tab w:val="right" w:leader="dot" w:pos="9026"/>
        </w:tabs>
        <w:jc w:val="left"/>
        <w:rPr>
          <w:sz w:val="24"/>
          <w:szCs w:val="24"/>
        </w:rPr>
      </w:pPr>
      <w:r>
        <w:rPr>
          <w:sz w:val="24"/>
          <w:szCs w:val="24"/>
        </w:rPr>
        <w:fldChar w:fldCharType="begin"/>
      </w:r>
      <w:r>
        <w:rPr>
          <w:sz w:val="24"/>
          <w:szCs w:val="24"/>
        </w:rPr>
        <w:instrText xml:space="preserve"> HYPERLINK \l _Toc146215225 </w:instrText>
      </w:r>
      <w:r>
        <w:rPr>
          <w:sz w:val="24"/>
          <w:szCs w:val="24"/>
        </w:rPr>
        <w:fldChar w:fldCharType="separate"/>
      </w:r>
      <w:r>
        <w:rPr>
          <w:rFonts w:ascii="Times New Roman" w:hAnsi="Times New Roman"/>
          <w:bCs/>
          <w:sz w:val="24"/>
          <w:szCs w:val="36"/>
          <w:lang w:val="en-US"/>
        </w:rPr>
        <w:t>三、排污许可</w:t>
      </w:r>
      <w:r>
        <w:rPr>
          <w:sz w:val="24"/>
          <w:szCs w:val="24"/>
        </w:rPr>
        <w:tab/>
      </w:r>
      <w:r>
        <w:rPr>
          <w:sz w:val="24"/>
          <w:szCs w:val="24"/>
        </w:rPr>
        <w:fldChar w:fldCharType="begin"/>
      </w:r>
      <w:r>
        <w:rPr>
          <w:sz w:val="24"/>
          <w:szCs w:val="24"/>
        </w:rPr>
        <w:instrText xml:space="preserve"> PAGEREF _Toc146215225 \h </w:instrText>
      </w:r>
      <w:r>
        <w:rPr>
          <w:sz w:val="24"/>
          <w:szCs w:val="24"/>
        </w:rPr>
        <w:fldChar w:fldCharType="separate"/>
      </w:r>
      <w:r>
        <w:rPr>
          <w:sz w:val="24"/>
          <w:szCs w:val="24"/>
        </w:rPr>
        <w:t>12</w:t>
      </w:r>
      <w:r>
        <w:rPr>
          <w:sz w:val="24"/>
          <w:szCs w:val="24"/>
        </w:rPr>
        <w:fldChar w:fldCharType="end"/>
      </w:r>
      <w:r>
        <w:rPr>
          <w:sz w:val="24"/>
          <w:szCs w:val="24"/>
        </w:rPr>
        <w:fldChar w:fldCharType="end"/>
      </w:r>
    </w:p>
    <w:p w14:paraId="624F5FA4">
      <w:pPr>
        <w:pStyle w:val="13"/>
        <w:tabs>
          <w:tab w:val="right" w:leader="dot" w:pos="9026"/>
        </w:tabs>
        <w:jc w:val="left"/>
        <w:rPr>
          <w:sz w:val="24"/>
          <w:szCs w:val="24"/>
        </w:rPr>
      </w:pPr>
      <w:r>
        <w:rPr>
          <w:sz w:val="24"/>
          <w:szCs w:val="24"/>
        </w:rPr>
        <w:fldChar w:fldCharType="begin"/>
      </w:r>
      <w:r>
        <w:rPr>
          <w:sz w:val="24"/>
          <w:szCs w:val="24"/>
        </w:rPr>
        <w:instrText xml:space="preserve"> HYPERLINK \l _Toc1769315546 </w:instrText>
      </w:r>
      <w:r>
        <w:rPr>
          <w:sz w:val="24"/>
          <w:szCs w:val="24"/>
        </w:rPr>
        <w:fldChar w:fldCharType="separate"/>
      </w:r>
      <w:r>
        <w:rPr>
          <w:rFonts w:hint="eastAsia" w:ascii="Times New Roman" w:hAnsi="Times New Roman"/>
          <w:bCs/>
          <w:sz w:val="24"/>
          <w:szCs w:val="36"/>
        </w:rPr>
        <w:t>二、出海篇</w:t>
      </w:r>
      <w:r>
        <w:rPr>
          <w:sz w:val="24"/>
          <w:szCs w:val="24"/>
        </w:rPr>
        <w:tab/>
      </w:r>
      <w:r>
        <w:rPr>
          <w:sz w:val="24"/>
          <w:szCs w:val="24"/>
        </w:rPr>
        <w:fldChar w:fldCharType="begin"/>
      </w:r>
      <w:r>
        <w:rPr>
          <w:sz w:val="24"/>
          <w:szCs w:val="24"/>
        </w:rPr>
        <w:instrText xml:space="preserve"> PAGEREF _Toc1769315546 \h </w:instrText>
      </w:r>
      <w:r>
        <w:rPr>
          <w:sz w:val="24"/>
          <w:szCs w:val="24"/>
        </w:rPr>
        <w:fldChar w:fldCharType="separate"/>
      </w:r>
      <w:r>
        <w:rPr>
          <w:sz w:val="24"/>
          <w:szCs w:val="24"/>
        </w:rPr>
        <w:t>12</w:t>
      </w:r>
      <w:r>
        <w:rPr>
          <w:sz w:val="24"/>
          <w:szCs w:val="24"/>
        </w:rPr>
        <w:fldChar w:fldCharType="end"/>
      </w:r>
      <w:r>
        <w:rPr>
          <w:sz w:val="24"/>
          <w:szCs w:val="24"/>
        </w:rPr>
        <w:fldChar w:fldCharType="end"/>
      </w:r>
    </w:p>
    <w:p w14:paraId="22B735E5">
      <w:pPr>
        <w:pStyle w:val="15"/>
        <w:tabs>
          <w:tab w:val="right" w:leader="dot" w:pos="9026"/>
        </w:tabs>
        <w:jc w:val="left"/>
        <w:rPr>
          <w:sz w:val="24"/>
          <w:szCs w:val="24"/>
        </w:rPr>
      </w:pPr>
      <w:r>
        <w:rPr>
          <w:sz w:val="24"/>
          <w:szCs w:val="24"/>
        </w:rPr>
        <w:fldChar w:fldCharType="begin"/>
      </w:r>
      <w:r>
        <w:rPr>
          <w:sz w:val="24"/>
          <w:szCs w:val="24"/>
        </w:rPr>
        <w:instrText xml:space="preserve"> HYPERLINK \l _Toc1369743917 </w:instrText>
      </w:r>
      <w:r>
        <w:rPr>
          <w:sz w:val="24"/>
          <w:szCs w:val="24"/>
        </w:rPr>
        <w:fldChar w:fldCharType="separate"/>
      </w:r>
      <w:r>
        <w:rPr>
          <w:rFonts w:hint="eastAsia" w:ascii="Times New Roman" w:hAnsi="Times New Roman"/>
          <w:bCs/>
          <w:sz w:val="24"/>
          <w:szCs w:val="36"/>
          <w:lang w:val="en-GB"/>
        </w:rPr>
        <w:t>第一章 产品出海</w:t>
      </w:r>
      <w:r>
        <w:rPr>
          <w:sz w:val="24"/>
          <w:szCs w:val="24"/>
        </w:rPr>
        <w:tab/>
      </w:r>
      <w:r>
        <w:rPr>
          <w:sz w:val="24"/>
          <w:szCs w:val="24"/>
        </w:rPr>
        <w:fldChar w:fldCharType="begin"/>
      </w:r>
      <w:r>
        <w:rPr>
          <w:sz w:val="24"/>
          <w:szCs w:val="24"/>
        </w:rPr>
        <w:instrText xml:space="preserve"> PAGEREF _Toc1369743917 \h </w:instrText>
      </w:r>
      <w:r>
        <w:rPr>
          <w:sz w:val="24"/>
          <w:szCs w:val="24"/>
        </w:rPr>
        <w:fldChar w:fldCharType="separate"/>
      </w:r>
      <w:r>
        <w:rPr>
          <w:sz w:val="24"/>
          <w:szCs w:val="24"/>
        </w:rPr>
        <w:t>12</w:t>
      </w:r>
      <w:r>
        <w:rPr>
          <w:sz w:val="24"/>
          <w:szCs w:val="24"/>
        </w:rPr>
        <w:fldChar w:fldCharType="end"/>
      </w:r>
      <w:r>
        <w:rPr>
          <w:sz w:val="24"/>
          <w:szCs w:val="24"/>
        </w:rPr>
        <w:fldChar w:fldCharType="end"/>
      </w:r>
    </w:p>
    <w:p w14:paraId="4116B5B8">
      <w:pPr>
        <w:pStyle w:val="15"/>
        <w:tabs>
          <w:tab w:val="right" w:leader="dot" w:pos="9026"/>
        </w:tabs>
        <w:jc w:val="left"/>
        <w:rPr>
          <w:sz w:val="24"/>
          <w:szCs w:val="24"/>
        </w:rPr>
      </w:pPr>
      <w:r>
        <w:rPr>
          <w:sz w:val="24"/>
          <w:szCs w:val="24"/>
        </w:rPr>
        <w:fldChar w:fldCharType="begin"/>
      </w:r>
      <w:r>
        <w:rPr>
          <w:sz w:val="24"/>
          <w:szCs w:val="24"/>
        </w:rPr>
        <w:instrText xml:space="preserve"> HYPERLINK \l _Toc395127657 </w:instrText>
      </w:r>
      <w:r>
        <w:rPr>
          <w:sz w:val="24"/>
          <w:szCs w:val="24"/>
        </w:rPr>
        <w:fldChar w:fldCharType="separate"/>
      </w:r>
      <w:r>
        <w:rPr>
          <w:rFonts w:hint="eastAsia" w:ascii="Times New Roman" w:hAnsi="Times New Roman"/>
          <w:bCs/>
          <w:sz w:val="24"/>
          <w:szCs w:val="36"/>
          <w:lang w:val="en-GB"/>
        </w:rPr>
        <w:t>第二章 资本出海</w:t>
      </w:r>
      <w:r>
        <w:rPr>
          <w:sz w:val="24"/>
          <w:szCs w:val="24"/>
        </w:rPr>
        <w:tab/>
      </w:r>
      <w:r>
        <w:rPr>
          <w:sz w:val="24"/>
          <w:szCs w:val="24"/>
        </w:rPr>
        <w:fldChar w:fldCharType="begin"/>
      </w:r>
      <w:r>
        <w:rPr>
          <w:sz w:val="24"/>
          <w:szCs w:val="24"/>
        </w:rPr>
        <w:instrText xml:space="preserve"> PAGEREF _Toc395127657 \h </w:instrText>
      </w:r>
      <w:r>
        <w:rPr>
          <w:sz w:val="24"/>
          <w:szCs w:val="24"/>
        </w:rPr>
        <w:fldChar w:fldCharType="separate"/>
      </w:r>
      <w:r>
        <w:rPr>
          <w:sz w:val="24"/>
          <w:szCs w:val="24"/>
        </w:rPr>
        <w:t>178</w:t>
      </w:r>
      <w:r>
        <w:rPr>
          <w:sz w:val="24"/>
          <w:szCs w:val="24"/>
        </w:rPr>
        <w:fldChar w:fldCharType="end"/>
      </w:r>
      <w:r>
        <w:rPr>
          <w:sz w:val="24"/>
          <w:szCs w:val="24"/>
        </w:rPr>
        <w:fldChar w:fldCharType="end"/>
      </w:r>
    </w:p>
    <w:p w14:paraId="4FC6D36B">
      <w:pPr>
        <w:pStyle w:val="9"/>
        <w:tabs>
          <w:tab w:val="right" w:leader="dot" w:pos="9026"/>
        </w:tabs>
        <w:jc w:val="left"/>
        <w:rPr>
          <w:sz w:val="24"/>
          <w:szCs w:val="24"/>
        </w:rPr>
      </w:pPr>
      <w:r>
        <w:rPr>
          <w:sz w:val="24"/>
          <w:szCs w:val="24"/>
        </w:rPr>
        <w:fldChar w:fldCharType="begin"/>
      </w:r>
      <w:r>
        <w:rPr>
          <w:sz w:val="24"/>
          <w:szCs w:val="24"/>
        </w:rPr>
        <w:instrText xml:space="preserve"> HYPERLINK \l _Toc1942475072 </w:instrText>
      </w:r>
      <w:r>
        <w:rPr>
          <w:sz w:val="24"/>
          <w:szCs w:val="24"/>
        </w:rPr>
        <w:fldChar w:fldCharType="separate"/>
      </w:r>
      <w:r>
        <w:rPr>
          <w:rFonts w:hint="eastAsia" w:ascii="Times New Roman" w:hAnsi="Times New Roman"/>
          <w:bCs/>
          <w:sz w:val="24"/>
          <w:szCs w:val="36"/>
          <w:lang w:val="en-GB"/>
        </w:rPr>
        <w:t>第一节 总则</w:t>
      </w:r>
      <w:r>
        <w:rPr>
          <w:sz w:val="24"/>
          <w:szCs w:val="24"/>
        </w:rPr>
        <w:tab/>
      </w:r>
      <w:r>
        <w:rPr>
          <w:sz w:val="24"/>
          <w:szCs w:val="24"/>
        </w:rPr>
        <w:fldChar w:fldCharType="begin"/>
      </w:r>
      <w:r>
        <w:rPr>
          <w:sz w:val="24"/>
          <w:szCs w:val="24"/>
        </w:rPr>
        <w:instrText xml:space="preserve"> PAGEREF _Toc1942475072 \h </w:instrText>
      </w:r>
      <w:r>
        <w:rPr>
          <w:sz w:val="24"/>
          <w:szCs w:val="24"/>
        </w:rPr>
        <w:fldChar w:fldCharType="separate"/>
      </w:r>
      <w:r>
        <w:rPr>
          <w:sz w:val="24"/>
          <w:szCs w:val="24"/>
        </w:rPr>
        <w:t>178</w:t>
      </w:r>
      <w:r>
        <w:rPr>
          <w:sz w:val="24"/>
          <w:szCs w:val="24"/>
        </w:rPr>
        <w:fldChar w:fldCharType="end"/>
      </w:r>
      <w:r>
        <w:rPr>
          <w:sz w:val="24"/>
          <w:szCs w:val="24"/>
        </w:rPr>
        <w:fldChar w:fldCharType="end"/>
      </w:r>
    </w:p>
    <w:p w14:paraId="589E9BCD">
      <w:pPr>
        <w:pStyle w:val="9"/>
        <w:tabs>
          <w:tab w:val="right" w:leader="dot" w:pos="9026"/>
        </w:tabs>
        <w:jc w:val="left"/>
        <w:rPr>
          <w:sz w:val="24"/>
          <w:szCs w:val="24"/>
        </w:rPr>
      </w:pPr>
      <w:r>
        <w:rPr>
          <w:sz w:val="24"/>
          <w:szCs w:val="24"/>
        </w:rPr>
        <w:fldChar w:fldCharType="begin"/>
      </w:r>
      <w:r>
        <w:rPr>
          <w:sz w:val="24"/>
          <w:szCs w:val="24"/>
        </w:rPr>
        <w:instrText xml:space="preserve"> HYPERLINK \l _Toc1654142900 </w:instrText>
      </w:r>
      <w:r>
        <w:rPr>
          <w:sz w:val="24"/>
          <w:szCs w:val="24"/>
        </w:rPr>
        <w:fldChar w:fldCharType="separate"/>
      </w:r>
      <w:r>
        <w:rPr>
          <w:rFonts w:hint="eastAsia" w:ascii="Times New Roman" w:hAnsi="Times New Roman"/>
          <w:bCs/>
          <w:sz w:val="24"/>
          <w:szCs w:val="36"/>
          <w:lang w:val="en-GB"/>
        </w:rPr>
        <w:t>第二节 北美地区</w:t>
      </w:r>
      <w:r>
        <w:rPr>
          <w:sz w:val="24"/>
          <w:szCs w:val="24"/>
        </w:rPr>
        <w:tab/>
      </w:r>
      <w:r>
        <w:rPr>
          <w:sz w:val="24"/>
          <w:szCs w:val="24"/>
        </w:rPr>
        <w:fldChar w:fldCharType="begin"/>
      </w:r>
      <w:r>
        <w:rPr>
          <w:sz w:val="24"/>
          <w:szCs w:val="24"/>
        </w:rPr>
        <w:instrText xml:space="preserve"> PAGEREF _Toc1654142900 \h </w:instrText>
      </w:r>
      <w:r>
        <w:rPr>
          <w:sz w:val="24"/>
          <w:szCs w:val="24"/>
        </w:rPr>
        <w:fldChar w:fldCharType="separate"/>
      </w:r>
      <w:r>
        <w:rPr>
          <w:sz w:val="24"/>
          <w:szCs w:val="24"/>
        </w:rPr>
        <w:t>192</w:t>
      </w:r>
      <w:r>
        <w:rPr>
          <w:sz w:val="24"/>
          <w:szCs w:val="24"/>
        </w:rPr>
        <w:fldChar w:fldCharType="end"/>
      </w:r>
      <w:r>
        <w:rPr>
          <w:sz w:val="24"/>
          <w:szCs w:val="24"/>
        </w:rPr>
        <w:fldChar w:fldCharType="end"/>
      </w:r>
    </w:p>
    <w:p w14:paraId="076192EE">
      <w:pPr>
        <w:pStyle w:val="9"/>
        <w:tabs>
          <w:tab w:val="right" w:leader="dot" w:pos="9026"/>
        </w:tabs>
        <w:jc w:val="left"/>
        <w:rPr>
          <w:sz w:val="24"/>
          <w:szCs w:val="24"/>
        </w:rPr>
      </w:pPr>
      <w:r>
        <w:rPr>
          <w:sz w:val="24"/>
          <w:szCs w:val="24"/>
        </w:rPr>
        <w:fldChar w:fldCharType="begin"/>
      </w:r>
      <w:r>
        <w:rPr>
          <w:sz w:val="24"/>
          <w:szCs w:val="24"/>
        </w:rPr>
        <w:instrText xml:space="preserve"> HYPERLINK \l _Toc341131341 </w:instrText>
      </w:r>
      <w:r>
        <w:rPr>
          <w:sz w:val="24"/>
          <w:szCs w:val="24"/>
        </w:rPr>
        <w:fldChar w:fldCharType="separate"/>
      </w:r>
      <w:r>
        <w:rPr>
          <w:rFonts w:hint="eastAsia" w:ascii="Times New Roman" w:hAnsi="Times New Roman"/>
          <w:bCs/>
          <w:sz w:val="24"/>
          <w:szCs w:val="36"/>
          <w:lang w:val="en-GB"/>
        </w:rPr>
        <w:t>第三节 南美地区</w:t>
      </w:r>
      <w:r>
        <w:rPr>
          <w:sz w:val="24"/>
          <w:szCs w:val="24"/>
        </w:rPr>
        <w:tab/>
      </w:r>
      <w:r>
        <w:rPr>
          <w:sz w:val="24"/>
          <w:szCs w:val="24"/>
        </w:rPr>
        <w:fldChar w:fldCharType="begin"/>
      </w:r>
      <w:r>
        <w:rPr>
          <w:sz w:val="24"/>
          <w:szCs w:val="24"/>
        </w:rPr>
        <w:instrText xml:space="preserve"> PAGEREF _Toc341131341 \h </w:instrText>
      </w:r>
      <w:r>
        <w:rPr>
          <w:sz w:val="24"/>
          <w:szCs w:val="24"/>
        </w:rPr>
        <w:fldChar w:fldCharType="separate"/>
      </w:r>
      <w:r>
        <w:rPr>
          <w:sz w:val="24"/>
          <w:szCs w:val="24"/>
        </w:rPr>
        <w:t>260</w:t>
      </w:r>
      <w:r>
        <w:rPr>
          <w:sz w:val="24"/>
          <w:szCs w:val="24"/>
        </w:rPr>
        <w:fldChar w:fldCharType="end"/>
      </w:r>
      <w:r>
        <w:rPr>
          <w:sz w:val="24"/>
          <w:szCs w:val="24"/>
        </w:rPr>
        <w:fldChar w:fldCharType="end"/>
      </w:r>
    </w:p>
    <w:p w14:paraId="15B55C0A">
      <w:pPr>
        <w:pStyle w:val="9"/>
        <w:tabs>
          <w:tab w:val="right" w:leader="dot" w:pos="9026"/>
        </w:tabs>
        <w:jc w:val="left"/>
        <w:rPr>
          <w:sz w:val="24"/>
          <w:szCs w:val="24"/>
        </w:rPr>
      </w:pPr>
      <w:r>
        <w:rPr>
          <w:sz w:val="24"/>
          <w:szCs w:val="24"/>
        </w:rPr>
        <w:fldChar w:fldCharType="begin"/>
      </w:r>
      <w:r>
        <w:rPr>
          <w:sz w:val="24"/>
          <w:szCs w:val="24"/>
        </w:rPr>
        <w:instrText xml:space="preserve"> HYPERLINK \l _Toc1560685697 </w:instrText>
      </w:r>
      <w:r>
        <w:rPr>
          <w:sz w:val="24"/>
          <w:szCs w:val="24"/>
        </w:rPr>
        <w:fldChar w:fldCharType="separate"/>
      </w:r>
      <w:r>
        <w:rPr>
          <w:rFonts w:hint="eastAsia" w:ascii="Times New Roman" w:hAnsi="Times New Roman"/>
          <w:bCs/>
          <w:sz w:val="24"/>
          <w:szCs w:val="36"/>
          <w:lang w:val="en-GB"/>
        </w:rPr>
        <w:t>第四节 欧洲地区</w:t>
      </w:r>
      <w:r>
        <w:rPr>
          <w:sz w:val="24"/>
          <w:szCs w:val="24"/>
        </w:rPr>
        <w:tab/>
      </w:r>
      <w:r>
        <w:rPr>
          <w:sz w:val="24"/>
          <w:szCs w:val="24"/>
        </w:rPr>
        <w:fldChar w:fldCharType="begin"/>
      </w:r>
      <w:r>
        <w:rPr>
          <w:sz w:val="24"/>
          <w:szCs w:val="24"/>
        </w:rPr>
        <w:instrText xml:space="preserve"> PAGEREF _Toc1560685697 \h </w:instrText>
      </w:r>
      <w:r>
        <w:rPr>
          <w:sz w:val="24"/>
          <w:szCs w:val="24"/>
        </w:rPr>
        <w:fldChar w:fldCharType="separate"/>
      </w:r>
      <w:r>
        <w:rPr>
          <w:sz w:val="24"/>
          <w:szCs w:val="24"/>
        </w:rPr>
        <w:t>284</w:t>
      </w:r>
      <w:r>
        <w:rPr>
          <w:sz w:val="24"/>
          <w:szCs w:val="24"/>
        </w:rPr>
        <w:fldChar w:fldCharType="end"/>
      </w:r>
      <w:r>
        <w:rPr>
          <w:sz w:val="24"/>
          <w:szCs w:val="24"/>
        </w:rPr>
        <w:fldChar w:fldCharType="end"/>
      </w:r>
    </w:p>
    <w:p w14:paraId="304350DB">
      <w:pPr>
        <w:pStyle w:val="9"/>
        <w:tabs>
          <w:tab w:val="right" w:leader="dot" w:pos="9026"/>
        </w:tabs>
        <w:jc w:val="left"/>
        <w:rPr>
          <w:sz w:val="24"/>
          <w:szCs w:val="24"/>
        </w:rPr>
      </w:pPr>
      <w:r>
        <w:rPr>
          <w:sz w:val="24"/>
          <w:szCs w:val="24"/>
        </w:rPr>
        <w:fldChar w:fldCharType="begin"/>
      </w:r>
      <w:r>
        <w:rPr>
          <w:sz w:val="24"/>
          <w:szCs w:val="24"/>
        </w:rPr>
        <w:instrText xml:space="preserve"> HYPERLINK \l _Toc103694486 </w:instrText>
      </w:r>
      <w:r>
        <w:rPr>
          <w:sz w:val="24"/>
          <w:szCs w:val="24"/>
        </w:rPr>
        <w:fldChar w:fldCharType="separate"/>
      </w:r>
      <w:r>
        <w:rPr>
          <w:rFonts w:hint="eastAsia" w:ascii="Times New Roman" w:hAnsi="Times New Roman"/>
          <w:bCs/>
          <w:sz w:val="24"/>
          <w:szCs w:val="36"/>
          <w:lang w:val="en-GB"/>
        </w:rPr>
        <w:t>第五节 东南亚地区</w:t>
      </w:r>
      <w:r>
        <w:rPr>
          <w:sz w:val="24"/>
          <w:szCs w:val="24"/>
        </w:rPr>
        <w:tab/>
      </w:r>
      <w:r>
        <w:rPr>
          <w:sz w:val="24"/>
          <w:szCs w:val="24"/>
        </w:rPr>
        <w:fldChar w:fldCharType="begin"/>
      </w:r>
      <w:r>
        <w:rPr>
          <w:sz w:val="24"/>
          <w:szCs w:val="24"/>
        </w:rPr>
        <w:instrText xml:space="preserve"> PAGEREF _Toc103694486 \h </w:instrText>
      </w:r>
      <w:r>
        <w:rPr>
          <w:sz w:val="24"/>
          <w:szCs w:val="24"/>
        </w:rPr>
        <w:fldChar w:fldCharType="separate"/>
      </w:r>
      <w:r>
        <w:rPr>
          <w:sz w:val="24"/>
          <w:szCs w:val="24"/>
        </w:rPr>
        <w:t>303</w:t>
      </w:r>
      <w:r>
        <w:rPr>
          <w:sz w:val="24"/>
          <w:szCs w:val="24"/>
        </w:rPr>
        <w:fldChar w:fldCharType="end"/>
      </w:r>
      <w:r>
        <w:rPr>
          <w:sz w:val="24"/>
          <w:szCs w:val="24"/>
        </w:rPr>
        <w:fldChar w:fldCharType="end"/>
      </w:r>
    </w:p>
    <w:p w14:paraId="29DBE980">
      <w:pPr>
        <w:pStyle w:val="9"/>
        <w:tabs>
          <w:tab w:val="right" w:leader="dot" w:pos="9026"/>
        </w:tabs>
        <w:jc w:val="left"/>
        <w:rPr>
          <w:sz w:val="24"/>
          <w:szCs w:val="24"/>
        </w:rPr>
      </w:pPr>
      <w:r>
        <w:rPr>
          <w:sz w:val="24"/>
          <w:szCs w:val="24"/>
        </w:rPr>
        <w:fldChar w:fldCharType="begin"/>
      </w:r>
      <w:r>
        <w:rPr>
          <w:sz w:val="24"/>
          <w:szCs w:val="24"/>
        </w:rPr>
        <w:instrText xml:space="preserve"> HYPERLINK \l _Toc1036318390 </w:instrText>
      </w:r>
      <w:r>
        <w:rPr>
          <w:sz w:val="24"/>
          <w:szCs w:val="24"/>
        </w:rPr>
        <w:fldChar w:fldCharType="separate"/>
      </w:r>
      <w:r>
        <w:rPr>
          <w:rFonts w:hint="eastAsia" w:ascii="Times New Roman" w:hAnsi="Times New Roman"/>
          <w:bCs/>
          <w:sz w:val="24"/>
          <w:szCs w:val="36"/>
          <w:lang w:val="en-GB"/>
        </w:rPr>
        <w:t>第六节 中亚地区</w:t>
      </w:r>
      <w:r>
        <w:rPr>
          <w:sz w:val="24"/>
          <w:szCs w:val="24"/>
        </w:rPr>
        <w:tab/>
      </w:r>
      <w:r>
        <w:rPr>
          <w:sz w:val="24"/>
          <w:szCs w:val="24"/>
        </w:rPr>
        <w:fldChar w:fldCharType="begin"/>
      </w:r>
      <w:r>
        <w:rPr>
          <w:sz w:val="24"/>
          <w:szCs w:val="24"/>
        </w:rPr>
        <w:instrText xml:space="preserve"> PAGEREF _Toc1036318390 \h </w:instrText>
      </w:r>
      <w:r>
        <w:rPr>
          <w:sz w:val="24"/>
          <w:szCs w:val="24"/>
        </w:rPr>
        <w:fldChar w:fldCharType="separate"/>
      </w:r>
      <w:r>
        <w:rPr>
          <w:sz w:val="24"/>
          <w:szCs w:val="24"/>
        </w:rPr>
        <w:t>323</w:t>
      </w:r>
      <w:r>
        <w:rPr>
          <w:sz w:val="24"/>
          <w:szCs w:val="24"/>
        </w:rPr>
        <w:fldChar w:fldCharType="end"/>
      </w:r>
      <w:r>
        <w:rPr>
          <w:sz w:val="24"/>
          <w:szCs w:val="24"/>
        </w:rPr>
        <w:fldChar w:fldCharType="end"/>
      </w:r>
    </w:p>
    <w:p w14:paraId="1A85335D">
      <w:pPr>
        <w:pStyle w:val="9"/>
        <w:tabs>
          <w:tab w:val="right" w:leader="dot" w:pos="9026"/>
        </w:tabs>
        <w:jc w:val="left"/>
        <w:rPr>
          <w:sz w:val="24"/>
          <w:szCs w:val="24"/>
        </w:rPr>
      </w:pPr>
      <w:r>
        <w:rPr>
          <w:sz w:val="24"/>
          <w:szCs w:val="24"/>
        </w:rPr>
        <w:fldChar w:fldCharType="begin"/>
      </w:r>
      <w:r>
        <w:rPr>
          <w:sz w:val="24"/>
          <w:szCs w:val="24"/>
        </w:rPr>
        <w:instrText xml:space="preserve"> HYPERLINK \l _Toc290602432 </w:instrText>
      </w:r>
      <w:r>
        <w:rPr>
          <w:sz w:val="24"/>
          <w:szCs w:val="24"/>
        </w:rPr>
        <w:fldChar w:fldCharType="separate"/>
      </w:r>
      <w:r>
        <w:rPr>
          <w:rFonts w:hint="eastAsia" w:ascii="Times New Roman" w:hAnsi="Times New Roman"/>
          <w:bCs/>
          <w:sz w:val="24"/>
          <w:szCs w:val="36"/>
          <w:lang w:val="en-GB"/>
        </w:rPr>
        <w:t>第七节 东亚地区</w:t>
      </w:r>
      <w:r>
        <w:rPr>
          <w:sz w:val="24"/>
          <w:szCs w:val="24"/>
        </w:rPr>
        <w:tab/>
      </w:r>
      <w:r>
        <w:rPr>
          <w:sz w:val="24"/>
          <w:szCs w:val="24"/>
        </w:rPr>
        <w:fldChar w:fldCharType="begin"/>
      </w:r>
      <w:r>
        <w:rPr>
          <w:sz w:val="24"/>
          <w:szCs w:val="24"/>
        </w:rPr>
        <w:instrText xml:space="preserve"> PAGEREF _Toc290602432 \h </w:instrText>
      </w:r>
      <w:r>
        <w:rPr>
          <w:sz w:val="24"/>
          <w:szCs w:val="24"/>
        </w:rPr>
        <w:fldChar w:fldCharType="separate"/>
      </w:r>
      <w:r>
        <w:rPr>
          <w:sz w:val="24"/>
          <w:szCs w:val="24"/>
        </w:rPr>
        <w:t>331</w:t>
      </w:r>
      <w:r>
        <w:rPr>
          <w:sz w:val="24"/>
          <w:szCs w:val="24"/>
        </w:rPr>
        <w:fldChar w:fldCharType="end"/>
      </w:r>
      <w:r>
        <w:rPr>
          <w:sz w:val="24"/>
          <w:szCs w:val="24"/>
        </w:rPr>
        <w:fldChar w:fldCharType="end"/>
      </w:r>
    </w:p>
    <w:p w14:paraId="2A674081">
      <w:pPr>
        <w:pStyle w:val="9"/>
        <w:tabs>
          <w:tab w:val="right" w:leader="dot" w:pos="9026"/>
        </w:tabs>
        <w:jc w:val="left"/>
        <w:rPr>
          <w:sz w:val="24"/>
          <w:szCs w:val="24"/>
        </w:rPr>
      </w:pPr>
      <w:r>
        <w:rPr>
          <w:sz w:val="24"/>
          <w:szCs w:val="24"/>
        </w:rPr>
        <w:fldChar w:fldCharType="begin"/>
      </w:r>
      <w:r>
        <w:rPr>
          <w:sz w:val="24"/>
          <w:szCs w:val="24"/>
        </w:rPr>
        <w:instrText xml:space="preserve"> HYPERLINK \l _Toc374585624 </w:instrText>
      </w:r>
      <w:r>
        <w:rPr>
          <w:sz w:val="24"/>
          <w:szCs w:val="24"/>
        </w:rPr>
        <w:fldChar w:fldCharType="separate"/>
      </w:r>
      <w:r>
        <w:rPr>
          <w:rFonts w:hint="eastAsia" w:ascii="Times New Roman" w:hAnsi="Times New Roman"/>
          <w:bCs/>
          <w:sz w:val="24"/>
          <w:szCs w:val="36"/>
          <w:lang w:val="en-GB"/>
        </w:rPr>
        <w:t>第八节 中东地区</w:t>
      </w:r>
      <w:r>
        <w:rPr>
          <w:sz w:val="24"/>
          <w:szCs w:val="24"/>
        </w:rPr>
        <w:tab/>
      </w:r>
      <w:r>
        <w:rPr>
          <w:sz w:val="24"/>
          <w:szCs w:val="24"/>
        </w:rPr>
        <w:fldChar w:fldCharType="begin"/>
      </w:r>
      <w:r>
        <w:rPr>
          <w:sz w:val="24"/>
          <w:szCs w:val="24"/>
        </w:rPr>
        <w:instrText xml:space="preserve"> PAGEREF _Toc374585624 \h </w:instrText>
      </w:r>
      <w:r>
        <w:rPr>
          <w:sz w:val="24"/>
          <w:szCs w:val="24"/>
        </w:rPr>
        <w:fldChar w:fldCharType="separate"/>
      </w:r>
      <w:r>
        <w:rPr>
          <w:sz w:val="24"/>
          <w:szCs w:val="24"/>
        </w:rPr>
        <w:t>354</w:t>
      </w:r>
      <w:r>
        <w:rPr>
          <w:sz w:val="24"/>
          <w:szCs w:val="24"/>
        </w:rPr>
        <w:fldChar w:fldCharType="end"/>
      </w:r>
      <w:r>
        <w:rPr>
          <w:sz w:val="24"/>
          <w:szCs w:val="24"/>
        </w:rPr>
        <w:fldChar w:fldCharType="end"/>
      </w:r>
    </w:p>
    <w:p w14:paraId="058FD557">
      <w:pPr>
        <w:rPr>
          <w:sz w:val="24"/>
          <w:szCs w:val="24"/>
        </w:rPr>
      </w:pPr>
    </w:p>
    <w:p w14:paraId="07C1FA3F">
      <w:pPr>
        <w:rPr>
          <w:sz w:val="24"/>
          <w:szCs w:val="24"/>
        </w:rPr>
      </w:pPr>
    </w:p>
    <w:p w14:paraId="06AFD812">
      <w:pPr>
        <w:rPr>
          <w:sz w:val="24"/>
          <w:szCs w:val="24"/>
        </w:rPr>
      </w:pPr>
    </w:p>
    <w:p w14:paraId="73707F71">
      <w:pPr>
        <w:rPr>
          <w:sz w:val="24"/>
          <w:szCs w:val="24"/>
        </w:rPr>
      </w:pPr>
    </w:p>
    <w:p w14:paraId="1A32D49A">
      <w:pPr>
        <w:rPr>
          <w:sz w:val="24"/>
          <w:szCs w:val="24"/>
        </w:rPr>
      </w:pPr>
    </w:p>
    <w:p w14:paraId="52E962A4">
      <w:pPr>
        <w:rPr>
          <w:sz w:val="24"/>
          <w:szCs w:val="24"/>
        </w:rPr>
      </w:pPr>
    </w:p>
    <w:p w14:paraId="0663A97C">
      <w:pPr>
        <w:rPr>
          <w:sz w:val="24"/>
          <w:szCs w:val="24"/>
        </w:rPr>
      </w:pPr>
    </w:p>
    <w:p w14:paraId="70328F19">
      <w:pPr>
        <w:rPr>
          <w:sz w:val="24"/>
          <w:szCs w:val="24"/>
        </w:rPr>
      </w:pPr>
    </w:p>
    <w:p w14:paraId="312023B9">
      <w:pPr>
        <w:rPr>
          <w:sz w:val="24"/>
          <w:szCs w:val="24"/>
        </w:rPr>
      </w:pPr>
    </w:p>
    <w:p w14:paraId="1202C996">
      <w:pPr>
        <w:rPr>
          <w:sz w:val="24"/>
          <w:szCs w:val="24"/>
        </w:rPr>
      </w:pPr>
    </w:p>
    <w:p w14:paraId="2CEC0175">
      <w:pPr>
        <w:rPr>
          <w:sz w:val="24"/>
          <w:szCs w:val="24"/>
        </w:rPr>
      </w:pPr>
    </w:p>
    <w:p w14:paraId="0C604407">
      <w:pPr>
        <w:rPr>
          <w:sz w:val="24"/>
          <w:szCs w:val="24"/>
        </w:rPr>
      </w:pPr>
    </w:p>
    <w:p w14:paraId="7955D6F5">
      <w:pPr>
        <w:rPr>
          <w:sz w:val="24"/>
          <w:szCs w:val="24"/>
        </w:rPr>
      </w:pPr>
    </w:p>
    <w:p w14:paraId="4CBC90C8">
      <w:pPr>
        <w:rPr>
          <w:sz w:val="24"/>
          <w:szCs w:val="24"/>
        </w:rPr>
      </w:pPr>
    </w:p>
    <w:p w14:paraId="0F4D4A99">
      <w:pPr>
        <w:rPr>
          <w:sz w:val="24"/>
          <w:szCs w:val="24"/>
        </w:rPr>
      </w:pPr>
    </w:p>
    <w:p w14:paraId="701C8935">
      <w:pPr>
        <w:rPr>
          <w:sz w:val="24"/>
          <w:szCs w:val="24"/>
        </w:rPr>
      </w:pPr>
    </w:p>
    <w:p w14:paraId="68249DDD">
      <w:pPr>
        <w:rPr>
          <w:sz w:val="24"/>
          <w:szCs w:val="24"/>
        </w:rPr>
      </w:pPr>
    </w:p>
    <w:p w14:paraId="69EE7C96">
      <w:pPr>
        <w:rPr>
          <w:sz w:val="24"/>
          <w:szCs w:val="24"/>
        </w:rPr>
      </w:pPr>
    </w:p>
    <w:p w14:paraId="793A37FD">
      <w:pPr>
        <w:rPr>
          <w:sz w:val="24"/>
          <w:szCs w:val="24"/>
        </w:rPr>
      </w:pPr>
    </w:p>
    <w:p w14:paraId="32DAD922">
      <w:pPr>
        <w:rPr>
          <w:sz w:val="24"/>
          <w:szCs w:val="24"/>
        </w:rPr>
      </w:pPr>
    </w:p>
    <w:p w14:paraId="4D55444C">
      <w:pPr>
        <w:rPr>
          <w:sz w:val="24"/>
          <w:szCs w:val="24"/>
        </w:rPr>
      </w:pPr>
    </w:p>
    <w:p w14:paraId="63B1DC7C">
      <w:pPr>
        <w:rPr>
          <w:sz w:val="24"/>
          <w:szCs w:val="24"/>
        </w:rPr>
      </w:pPr>
    </w:p>
    <w:p w14:paraId="717B8BDA">
      <w:pPr>
        <w:rPr>
          <w:sz w:val="24"/>
          <w:szCs w:val="24"/>
        </w:rPr>
      </w:pPr>
    </w:p>
    <w:p w14:paraId="2FB2DF6E">
      <w:pPr>
        <w:rPr>
          <w:sz w:val="24"/>
          <w:szCs w:val="24"/>
        </w:rPr>
      </w:pPr>
    </w:p>
    <w:p w14:paraId="7501F322">
      <w:pPr>
        <w:rPr>
          <w:sz w:val="24"/>
          <w:szCs w:val="24"/>
        </w:rPr>
      </w:pPr>
    </w:p>
    <w:p w14:paraId="3074C11F">
      <w:pPr>
        <w:rPr>
          <w:sz w:val="24"/>
          <w:szCs w:val="24"/>
        </w:rPr>
      </w:pPr>
    </w:p>
    <w:p w14:paraId="3731532C">
      <w:pPr>
        <w:rPr>
          <w:sz w:val="24"/>
          <w:szCs w:val="24"/>
        </w:rPr>
      </w:pPr>
    </w:p>
    <w:p w14:paraId="2658D453">
      <w:pPr>
        <w:rPr>
          <w:sz w:val="24"/>
          <w:szCs w:val="24"/>
        </w:rPr>
      </w:pPr>
    </w:p>
    <w:p w14:paraId="3D1C6607">
      <w:pPr>
        <w:rPr>
          <w:sz w:val="24"/>
          <w:szCs w:val="24"/>
        </w:rPr>
      </w:pPr>
    </w:p>
    <w:p w14:paraId="6CA35961">
      <w:r>
        <w:rPr>
          <w:sz w:val="22"/>
          <w:szCs w:val="22"/>
        </w:rPr>
        <w:fldChar w:fldCharType="end"/>
      </w:r>
    </w:p>
    <w:p w14:paraId="2ED54189">
      <w:pPr>
        <w:spacing w:before="120" w:beforeLines="50" w:after="120" w:afterLines="50" w:line="360" w:lineRule="auto"/>
        <w:jc w:val="center"/>
        <w:outlineLvl w:val="0"/>
        <w:rPr>
          <w:rFonts w:ascii="Times New Roman" w:hAnsi="Times New Roman" w:cs="黑体"/>
          <w:b/>
          <w:bCs/>
          <w:sz w:val="32"/>
          <w:szCs w:val="32"/>
        </w:rPr>
      </w:pPr>
      <w:bookmarkStart w:id="0" w:name="_Toc1235067135"/>
      <w:r>
        <w:rPr>
          <w:rFonts w:hint="eastAsia" w:ascii="Times New Roman" w:hAnsi="Times New Roman" w:cs="黑体"/>
          <w:b/>
          <w:bCs/>
          <w:sz w:val="32"/>
          <w:szCs w:val="32"/>
        </w:rPr>
        <w:t>上海市</w:t>
      </w:r>
      <w:r>
        <w:rPr>
          <w:rFonts w:ascii="Times New Roman" w:hAnsi="Times New Roman" w:cs="黑体"/>
          <w:b/>
          <w:bCs/>
          <w:sz w:val="32"/>
          <w:szCs w:val="32"/>
        </w:rPr>
        <w:t>生物医药企业依法生产经营</w:t>
      </w:r>
      <w:r>
        <w:rPr>
          <w:rFonts w:ascii="Times New Roman" w:hAnsi="Times New Roman" w:eastAsia="宋体" w:cs="黑体"/>
          <w:b/>
          <w:bCs/>
          <w:sz w:val="32"/>
          <w:szCs w:val="32"/>
        </w:rPr>
        <w:t>合</w:t>
      </w:r>
      <w:r>
        <w:rPr>
          <w:rFonts w:ascii="Times New Roman" w:hAnsi="Times New Roman" w:cs="黑体"/>
          <w:b/>
          <w:bCs/>
          <w:sz w:val="32"/>
          <w:szCs w:val="32"/>
        </w:rPr>
        <w:t>规指引</w:t>
      </w:r>
      <w:bookmarkEnd w:id="0"/>
    </w:p>
    <w:p w14:paraId="2FD0B664">
      <w:pPr>
        <w:spacing w:before="120" w:beforeLines="50" w:after="120" w:afterLines="50" w:line="360" w:lineRule="auto"/>
        <w:jc w:val="center"/>
        <w:outlineLvl w:val="0"/>
        <w:rPr>
          <w:rFonts w:ascii="Times New Roman" w:hAnsi="Times New Roman" w:cs="黑体"/>
          <w:b/>
          <w:bCs/>
          <w:sz w:val="32"/>
          <w:szCs w:val="32"/>
        </w:rPr>
      </w:pPr>
      <w:bookmarkStart w:id="1" w:name="_Toc1546772911"/>
      <w:r>
        <w:rPr>
          <w:rFonts w:ascii="Times New Roman" w:hAnsi="Times New Roman" w:cs="黑体"/>
          <w:b/>
          <w:bCs/>
          <w:sz w:val="32"/>
          <w:szCs w:val="32"/>
        </w:rPr>
        <w:t>（医疗器械篇）</w:t>
      </w:r>
      <w:bookmarkEnd w:id="1"/>
      <w:r>
        <w:rPr>
          <w:rFonts w:hint="default" w:ascii="Times New Roman" w:hAnsi="Times New Roman" w:eastAsia="宋体" w:cs="黑体"/>
          <w:b/>
          <w:bCs/>
          <w:sz w:val="32"/>
          <w:szCs w:val="32"/>
          <w:lang w:val="en-US" w:eastAsia="zh-CN"/>
        </w:rPr>
        <w:t>（征求意见稿）</w:t>
      </w:r>
    </w:p>
    <w:p w14:paraId="558D3343">
      <w:pPr>
        <w:spacing w:before="120" w:beforeLines="50" w:after="120" w:afterLines="50" w:line="360" w:lineRule="auto"/>
        <w:jc w:val="center"/>
        <w:outlineLvl w:val="0"/>
        <w:rPr>
          <w:rFonts w:ascii="Times New Roman" w:hAnsi="Times New Roman"/>
          <w:b/>
          <w:bCs/>
          <w:sz w:val="28"/>
          <w:szCs w:val="28"/>
        </w:rPr>
      </w:pPr>
      <w:bookmarkStart w:id="2" w:name="_Toc223674142"/>
      <w:r>
        <w:rPr>
          <w:rFonts w:hint="eastAsia" w:ascii="Times New Roman" w:hAnsi="Times New Roman"/>
          <w:b/>
          <w:bCs/>
          <w:sz w:val="28"/>
          <w:szCs w:val="28"/>
        </w:rPr>
        <w:t>一、国内篇</w:t>
      </w:r>
      <w:bookmarkEnd w:id="2"/>
    </w:p>
    <w:p w14:paraId="3669210B">
      <w:pPr>
        <w:spacing w:before="120" w:beforeLines="50" w:after="120" w:afterLines="50" w:line="360" w:lineRule="auto"/>
        <w:jc w:val="center"/>
        <w:outlineLvl w:val="1"/>
        <w:rPr>
          <w:rFonts w:ascii="Times New Roman" w:hAnsi="Times New Roman"/>
          <w:b/>
          <w:bCs/>
          <w:sz w:val="28"/>
          <w:szCs w:val="28"/>
          <w:lang w:val="en-US"/>
        </w:rPr>
      </w:pPr>
      <w:bookmarkStart w:id="3" w:name="_Toc1930029486"/>
      <w:r>
        <w:rPr>
          <w:rFonts w:ascii="Times New Roman" w:hAnsi="Times New Roman"/>
          <w:b/>
          <w:bCs/>
          <w:sz w:val="28"/>
          <w:szCs w:val="28"/>
          <w:lang w:val="en-US"/>
        </w:rPr>
        <w:t>第一章 研制注册管理</w:t>
      </w:r>
      <w:bookmarkEnd w:id="3"/>
    </w:p>
    <w:p w14:paraId="7A257989">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4" w:name="_Toc359584468"/>
      <w:r>
        <w:rPr>
          <w:rFonts w:ascii="Times New Roman" w:hAnsi="Times New Roman"/>
          <w:b/>
          <w:bCs/>
          <w:sz w:val="28"/>
          <w:szCs w:val="28"/>
          <w:lang w:val="en-US"/>
        </w:rPr>
        <w:t>一、研发管理</w:t>
      </w:r>
      <w:bookmarkEnd w:id="4"/>
    </w:p>
    <w:p w14:paraId="0AB4751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企业开展医疗器械研发应当遵循科学严谨、风险可控、符合伦理的基本原则，建立覆盖设计策划、输入输出、验证确认、设计转换全流程的研发质量管理机制，同步开展风险识别、分析与评估，将产品风险控制在可接受范围内。研发原始记录应当如实记载实验数据、过程参数及结果，完整留存并可追溯。</w:t>
      </w:r>
    </w:p>
    <w:p w14:paraId="47FD5BDC">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5" w:name="_Toc455410942"/>
      <w:r>
        <w:rPr>
          <w:rFonts w:ascii="Times New Roman" w:hAnsi="Times New Roman"/>
          <w:b/>
          <w:bCs/>
          <w:sz w:val="28"/>
          <w:szCs w:val="28"/>
          <w:lang w:val="en-US"/>
        </w:rPr>
        <w:t>二、临床试验</w:t>
      </w:r>
      <w:bookmarkEnd w:id="5"/>
    </w:p>
    <w:p w14:paraId="5DB9D29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临床试验实施前，应当向省级药品监督管理部门办理备案。列入需进行临床试验审批的第三类医疗器械目录的，临床试验实施前，还应当经国家药品监督管理局审查批准。临床试验应当在具备法定资质的临床试验机构开展，经伦理委员会审查同意，充分履行受试者知情告知程序，保障受试者权益。临床试验全过程应当形成完整、真实的记录，不得篡改、虚构试验数据。符合免于临床试验情形的产品，应当按规定提交临床评价资料。</w:t>
      </w:r>
    </w:p>
    <w:p w14:paraId="3CD122F4">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6" w:name="_Toc1927286870"/>
      <w:r>
        <w:rPr>
          <w:rFonts w:ascii="Times New Roman" w:hAnsi="Times New Roman"/>
          <w:b/>
          <w:bCs/>
          <w:sz w:val="28"/>
          <w:szCs w:val="28"/>
          <w:lang w:val="en-US"/>
        </w:rPr>
        <w:t>三、注册及备案</w:t>
      </w:r>
      <w:bookmarkEnd w:id="6"/>
    </w:p>
    <w:p w14:paraId="3E36CFA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第一类医疗器械实行产品备案管理，第二类、第三类医疗器械实行产品注册管理。第一类医疗器械产品备案，应当向设区的市级药品监督管理部门提交备案资料；申请第二类医疗器械产品注册，应当向省级药品监督管理部门提交注册申请资料；申请第三类医疗器械产品注册，应当向国家药品监督管理局提交注册申请资料。资料内容应当真实、准确。</w:t>
      </w:r>
    </w:p>
    <w:p w14:paraId="57C8C116">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7" w:name="_Toc1365960687"/>
      <w:r>
        <w:rPr>
          <w:rFonts w:ascii="Times New Roman" w:hAnsi="Times New Roman"/>
          <w:b/>
          <w:bCs/>
          <w:sz w:val="28"/>
          <w:szCs w:val="28"/>
          <w:lang w:val="en-US"/>
        </w:rPr>
        <w:t>四、变更管理</w:t>
      </w:r>
      <w:bookmarkEnd w:id="7"/>
    </w:p>
    <w:p w14:paraId="4BA4422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第一类医疗器械备案资料载明的事项发生变化的，应当向原备案部门变更备案。第二类、第三类医疗器械注册证载明的事项发生变化的，应当区分许可事项变更与登记事项变更，并依法向原注册部门申请变更注册或办理变更备案。涉及产品性能结构、生产工艺、适用范围等重大调整，可能影响产品安全有效性的，应当申请变更注册；涉及企业名称、注册地址名称等登记事项变动的，应当办理变更备案。</w:t>
      </w:r>
    </w:p>
    <w:p w14:paraId="778AD836">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8" w:name="_Toc1081553854"/>
      <w:r>
        <w:rPr>
          <w:rFonts w:ascii="Times New Roman" w:hAnsi="Times New Roman"/>
          <w:b/>
          <w:bCs/>
          <w:sz w:val="28"/>
          <w:szCs w:val="28"/>
          <w:lang w:val="en-US"/>
        </w:rPr>
        <w:t>五、境内代理人</w:t>
      </w:r>
      <w:bookmarkEnd w:id="8"/>
    </w:p>
    <w:p w14:paraId="24958E1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进口医疗器械注册人、备案人应当指定中国境内具有企业法人资格的机构作为境内代理人。境内代理人应当协助产品注册人、备案人履行质量管理、上市后研究和风险管控、不良事件监测和再评价、产品追溯和召回等义务，依法承担相应法律责任。境内代理人信息发生变更的，产品注册人、备案人应当及时按规定办理变更手续。</w:t>
      </w:r>
    </w:p>
    <w:p w14:paraId="18791FF0">
      <w:pPr>
        <w:spacing w:before="120" w:beforeLines="50" w:after="120" w:afterLines="50" w:line="360" w:lineRule="auto"/>
        <w:ind w:firstLine="560" w:firstLineChars="200"/>
        <w:jc w:val="both"/>
        <w:rPr>
          <w:rFonts w:ascii="Times New Roman" w:hAnsi="Times New Roman"/>
          <w:sz w:val="28"/>
          <w:szCs w:val="28"/>
          <w:lang w:val="en-US"/>
        </w:rPr>
      </w:pPr>
    </w:p>
    <w:p w14:paraId="79CAFF45">
      <w:pPr>
        <w:spacing w:before="120" w:beforeLines="50" w:after="120" w:afterLines="50" w:line="360" w:lineRule="auto"/>
        <w:jc w:val="center"/>
        <w:outlineLvl w:val="1"/>
        <w:rPr>
          <w:rFonts w:ascii="Times New Roman" w:hAnsi="Times New Roman"/>
          <w:b/>
          <w:bCs/>
          <w:sz w:val="28"/>
          <w:szCs w:val="28"/>
          <w:lang w:val="en-US"/>
        </w:rPr>
      </w:pPr>
      <w:bookmarkStart w:id="9" w:name="_Toc248912431"/>
      <w:r>
        <w:rPr>
          <w:rFonts w:ascii="Times New Roman" w:hAnsi="Times New Roman"/>
          <w:b/>
          <w:bCs/>
          <w:sz w:val="28"/>
          <w:szCs w:val="28"/>
          <w:lang w:val="en-US"/>
        </w:rPr>
        <w:t>第二章 生产管理</w:t>
      </w:r>
      <w:bookmarkEnd w:id="9"/>
    </w:p>
    <w:p w14:paraId="7BAFE609">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10" w:name="_Toc173159526"/>
      <w:r>
        <w:rPr>
          <w:rFonts w:ascii="Times New Roman" w:hAnsi="Times New Roman"/>
          <w:b/>
          <w:bCs/>
          <w:sz w:val="28"/>
          <w:szCs w:val="28"/>
          <w:lang w:val="en-US"/>
        </w:rPr>
        <w:t>一、资质许可</w:t>
      </w:r>
      <w:bookmarkEnd w:id="10"/>
    </w:p>
    <w:p w14:paraId="2618DDB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从事第一类医疗器械生产的，应当向设区的市级药品监督管理部门办理生产备案；从事第二类、第三类医疗器械生产的，应当向省级药品监督管理部门申请医疗器械生产许可，取得《医疗器械生产许可证》后方可开展生产活动。生产范围应当与资质核准范围一致，不得超范围、超期限生产。生产条件发生重大变化的，应当及时向原许可或备案部门报告。</w:t>
      </w:r>
    </w:p>
    <w:p w14:paraId="22FF2F85">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11" w:name="_Toc284398983"/>
      <w:r>
        <w:rPr>
          <w:rFonts w:ascii="Times New Roman" w:hAnsi="Times New Roman"/>
          <w:b/>
          <w:bCs/>
          <w:sz w:val="28"/>
          <w:szCs w:val="28"/>
          <w:lang w:val="en-US"/>
        </w:rPr>
        <w:t>二、质量管理</w:t>
      </w:r>
      <w:bookmarkEnd w:id="11"/>
    </w:p>
    <w:p w14:paraId="32CEB9F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生产企业应当按照《医疗器械生产质量管理规范》要求建立、实施并持续改进质量管理体系，覆盖采购管控、生产过程、质量检验、成品放行全环节。定期组织内部审核与管理评审，验证体系运行有效性。严格按照经注册或备案的产品技术要求组织生产，对关键工序、特殊过程实施过程确认，如实记录生产工艺参数与质量控制结果。</w:t>
      </w:r>
    </w:p>
    <w:p w14:paraId="3FC0F87F">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12" w:name="_Toc2093487332"/>
      <w:r>
        <w:rPr>
          <w:rFonts w:ascii="Times New Roman" w:hAnsi="Times New Roman"/>
          <w:b/>
          <w:bCs/>
          <w:sz w:val="28"/>
          <w:szCs w:val="28"/>
          <w:lang w:val="en-US"/>
        </w:rPr>
        <w:t>三、委托生产</w:t>
      </w:r>
      <w:bookmarkEnd w:id="12"/>
    </w:p>
    <w:p w14:paraId="6909E9B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委托生产医疗器械的，委托方应当为该产品的注册人、备案人，受托方应当具备对应类别的医疗器械生产资质。双方应当签订书面委托协议及质量协议，明确质量责任、技术标准、生产管控要求及双方权利义务等。委托方对产品全生命周期质量负首要责任，应当对受托方的质量保证能力和风险管理能力进行评估，对生产过程实施监督。受托方应当按照协议要求组织生产，留存完整的生产与检验记录。</w:t>
      </w:r>
    </w:p>
    <w:p w14:paraId="3C57F98E">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13" w:name="_Toc1765694272"/>
      <w:r>
        <w:rPr>
          <w:rFonts w:ascii="Times New Roman" w:hAnsi="Times New Roman"/>
          <w:b/>
          <w:bCs/>
          <w:sz w:val="28"/>
          <w:szCs w:val="28"/>
          <w:lang w:val="en-US"/>
        </w:rPr>
        <w:t>四、追溯管理</w:t>
      </w:r>
      <w:bookmarkEnd w:id="13"/>
    </w:p>
    <w:p w14:paraId="160DA1E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生产企业应当按照医疗器械唯一标识（UDI）制度要求，对规定范围内的产品赋予唯一标识，搭建内部产品追溯系统。如实记录每批产品的原料来源、生产批次、生产日期、检验结果、销售流向等信息，实现产品从原料进厂到成品出厂全链条可追溯。追溯记录保存期限符合法律法规要求。</w:t>
      </w:r>
    </w:p>
    <w:p w14:paraId="2408717C">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14" w:name="_Toc597035234"/>
      <w:r>
        <w:rPr>
          <w:rFonts w:ascii="Times New Roman" w:hAnsi="Times New Roman"/>
          <w:b/>
          <w:bCs/>
          <w:sz w:val="28"/>
          <w:szCs w:val="28"/>
          <w:lang w:val="en-US"/>
        </w:rPr>
        <w:t>五、产品放行</w:t>
      </w:r>
      <w:bookmarkEnd w:id="14"/>
    </w:p>
    <w:p w14:paraId="72F66AB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生产企业应当建立产品放行工作程序，明确产品放行条件、审核和批准要求等。产品出厂前，应当对产品的工艺流程、批生产记录、质量控制记录、生产过程中出现的特殊情况处理结果、说明书、标签及其版本、UDI赋码等进行审核，确认符合放行条件后方可由经授权的放行人员签字放行，并附合格证明文件。</w:t>
      </w:r>
    </w:p>
    <w:p w14:paraId="726942C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委托生产的，由产品注册人、备案人负责上市放行，由受托生产企业负责生产放行。</w:t>
      </w:r>
    </w:p>
    <w:p w14:paraId="4B32B038">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15" w:name="_Toc695187048"/>
      <w:r>
        <w:rPr>
          <w:rFonts w:ascii="Times New Roman" w:hAnsi="Times New Roman"/>
          <w:b/>
          <w:bCs/>
          <w:sz w:val="28"/>
          <w:szCs w:val="28"/>
          <w:lang w:val="en-US"/>
        </w:rPr>
        <w:t>六、安全管理</w:t>
      </w:r>
      <w:bookmarkEnd w:id="15"/>
    </w:p>
    <w:p w14:paraId="729F208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生产企业应当落实安全生产主体责任，强化生产过程安全管控。特种设备、危险化学品应当按规定管理，配备必要的安全防护设施与应急物资。</w:t>
      </w:r>
    </w:p>
    <w:p w14:paraId="5DB06A48">
      <w:pPr>
        <w:spacing w:before="120" w:beforeLines="50" w:after="120" w:afterLines="50" w:line="360" w:lineRule="auto"/>
        <w:ind w:firstLine="560" w:firstLineChars="200"/>
        <w:jc w:val="both"/>
        <w:rPr>
          <w:rFonts w:ascii="Times New Roman" w:hAnsi="Times New Roman"/>
          <w:sz w:val="28"/>
          <w:szCs w:val="28"/>
          <w:lang w:val="en-US"/>
        </w:rPr>
      </w:pPr>
    </w:p>
    <w:p w14:paraId="53EA3AAD">
      <w:pPr>
        <w:spacing w:before="120" w:beforeLines="50" w:after="120" w:afterLines="50" w:line="360" w:lineRule="auto"/>
        <w:jc w:val="center"/>
        <w:outlineLvl w:val="1"/>
        <w:rPr>
          <w:rFonts w:ascii="Times New Roman" w:hAnsi="Times New Roman"/>
          <w:b/>
          <w:bCs/>
          <w:sz w:val="28"/>
          <w:szCs w:val="28"/>
          <w:lang w:val="en-US"/>
        </w:rPr>
      </w:pPr>
      <w:bookmarkStart w:id="16" w:name="_Toc877400383"/>
      <w:r>
        <w:rPr>
          <w:rFonts w:ascii="Times New Roman" w:hAnsi="Times New Roman"/>
          <w:b/>
          <w:bCs/>
          <w:sz w:val="28"/>
          <w:szCs w:val="28"/>
          <w:lang w:val="en-US"/>
        </w:rPr>
        <w:t>第三章 经营管理</w:t>
      </w:r>
      <w:bookmarkEnd w:id="16"/>
    </w:p>
    <w:p w14:paraId="5BD9D59D">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17" w:name="_Toc270891138"/>
      <w:r>
        <w:rPr>
          <w:rFonts w:ascii="Times New Roman" w:hAnsi="Times New Roman"/>
          <w:b/>
          <w:bCs/>
          <w:sz w:val="28"/>
          <w:szCs w:val="28"/>
          <w:lang w:val="en-US"/>
        </w:rPr>
        <w:t>一、资质许可</w:t>
      </w:r>
      <w:bookmarkEnd w:id="17"/>
    </w:p>
    <w:p w14:paraId="4EE4CEE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从事第三类医疗器械经营的，应当向设区的市级药品监督管理部门申请经营许可，取得《医疗器械经营许可证》；从事第二类医疗器械经营的，应当向设区的市级药品监督管理部门办理经营备案。质量管理体系、人员、经营场所、库房及配套设施设备应当与经营范围和经营规模相适应，符合《医疗器械经营质量管理规范》要求。不得超越许可或备案的范围、有效期开展经营活动。</w:t>
      </w:r>
    </w:p>
    <w:p w14:paraId="3AE2A98B">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18" w:name="_Toc1297017700"/>
      <w:r>
        <w:rPr>
          <w:rFonts w:ascii="Times New Roman" w:hAnsi="Times New Roman"/>
          <w:b/>
          <w:bCs/>
          <w:sz w:val="28"/>
          <w:szCs w:val="28"/>
          <w:lang w:val="en-US"/>
        </w:rPr>
        <w:t>二、产品进口</w:t>
      </w:r>
      <w:bookmarkEnd w:id="18"/>
    </w:p>
    <w:p w14:paraId="248F1EB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进口医疗器械应当依法取得我国医疗器械注册证或备案凭证，按规定办理进口通关、检验检疫手续。进口医疗器械应当符合我国强制性标准以及经注册或备案的产品技术要求，并附有中文说明书、中文标签，说明书中应当载明产品原产地以及境内代理人信息。</w:t>
      </w:r>
    </w:p>
    <w:p w14:paraId="219A8842">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19" w:name="_Toc732541868"/>
      <w:r>
        <w:rPr>
          <w:rFonts w:ascii="Times New Roman" w:hAnsi="Times New Roman"/>
          <w:b/>
          <w:bCs/>
          <w:sz w:val="28"/>
          <w:szCs w:val="28"/>
          <w:lang w:val="en-US"/>
        </w:rPr>
        <w:t>三、进货查验</w:t>
      </w:r>
      <w:bookmarkEnd w:id="19"/>
    </w:p>
    <w:p w14:paraId="406A18C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经营企业应当建立并严格执行进货查验记录制度。首次与供货者合作时，应当查验其生产经营资质、产品注册备案证明等文件。产品验收时，应当对产品的外观、包装、标签以及合格证明文件等进行查验，并如实记录产品名称、规格型号、生产批号、有效期、供货者信息、进货数量与日期等信息。进货查验记录应当保存至产品有效期届满后2年，无有效期的，保存期限不得少于5年。植入类医疗器械进货查验记录应当永久保存。</w:t>
      </w:r>
    </w:p>
    <w:p w14:paraId="41456B1A">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20" w:name="_Toc1089004335"/>
      <w:r>
        <w:rPr>
          <w:rFonts w:ascii="Times New Roman" w:hAnsi="Times New Roman"/>
          <w:b/>
          <w:bCs/>
          <w:sz w:val="28"/>
          <w:szCs w:val="28"/>
          <w:lang w:val="en-US"/>
        </w:rPr>
        <w:t>四、销售管理</w:t>
      </w:r>
      <w:bookmarkEnd w:id="20"/>
    </w:p>
    <w:p w14:paraId="1F2A920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经营企业应当建立并严格执行销售记录制度，如实记录产品名称、规格型号、生产批号、有效期、销售数量与日期等信息，确保产品流向清晰可追溯。销售记录应当保存至产品有效期届满后2年，无有效期的，保存期限不得少于5年。植入类医疗器械销售记录应当永久保存。企业不得销售未经注册或备案、无合格证明文件、过期、失效、淘汰的医疗器械。</w:t>
      </w:r>
    </w:p>
    <w:p w14:paraId="3F2FBD67">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21" w:name="_Toc954049493"/>
      <w:r>
        <w:rPr>
          <w:rFonts w:ascii="Times New Roman" w:hAnsi="Times New Roman"/>
          <w:b/>
          <w:bCs/>
          <w:sz w:val="28"/>
          <w:szCs w:val="28"/>
          <w:lang w:val="en-US"/>
        </w:rPr>
        <w:t>五、推广宣传</w:t>
      </w:r>
      <w:bookmarkEnd w:id="21"/>
    </w:p>
    <w:p w14:paraId="2581E32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医疗器械广告发布前应当经省级政府确定的广告审查机关审查批准，并取得医疗器械广告批准文号。广告内容应当与经注册或备案的产品说明书相一致，不得含有虚假、夸大、误导性的内容，不得使用专家、学者、医务人员、患者等的名义或形象作推荐、证明。线上线下各类宣传推广活动均应当符合广告监管规定。</w:t>
      </w:r>
    </w:p>
    <w:p w14:paraId="02F2F9C7">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22" w:name="_Toc1087606461"/>
      <w:r>
        <w:rPr>
          <w:rFonts w:ascii="Times New Roman" w:hAnsi="Times New Roman"/>
          <w:b/>
          <w:bCs/>
          <w:sz w:val="28"/>
          <w:szCs w:val="28"/>
          <w:lang w:val="en-US"/>
        </w:rPr>
        <w:t>六、追溯管理</w:t>
      </w:r>
      <w:bookmarkEnd w:id="22"/>
    </w:p>
    <w:p w14:paraId="3E64EEC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经营企业应当配合产品注册人、备案人落实医疗器械唯一标识管理要求，做好产品进销存信息与唯一标识的关联匹配，保障产品进货、销售、库存信息可追溯。</w:t>
      </w:r>
    </w:p>
    <w:p w14:paraId="41293DEF">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23" w:name="_Toc99190138"/>
      <w:r>
        <w:rPr>
          <w:rFonts w:ascii="Times New Roman" w:hAnsi="Times New Roman"/>
          <w:b/>
          <w:bCs/>
          <w:sz w:val="28"/>
          <w:szCs w:val="28"/>
          <w:lang w:val="en-US"/>
        </w:rPr>
        <w:t>七、储运管理</w:t>
      </w:r>
      <w:bookmarkEnd w:id="23"/>
    </w:p>
    <w:p w14:paraId="6639CB0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经营企业应当按照产品说明书、标签标示的要求运输、贮存医疗器械。对温湿度等环境条件有特殊要求的产品，应当配备相应的调控及监测设施设备或仪器，全程记录环境参数。冷链运输产品应当确保全程冷链不间断，温度数据真实可追溯。定期开展库存产品盘点与质量检查，发现质量或数量问题应当及时查明原因并做好记录。</w:t>
      </w:r>
    </w:p>
    <w:p w14:paraId="522F614D">
      <w:pPr>
        <w:spacing w:before="120" w:beforeLines="50" w:after="120" w:afterLines="50" w:line="360" w:lineRule="auto"/>
        <w:ind w:firstLine="560" w:firstLineChars="200"/>
        <w:jc w:val="both"/>
        <w:rPr>
          <w:rFonts w:ascii="Times New Roman" w:hAnsi="Times New Roman"/>
          <w:sz w:val="28"/>
          <w:szCs w:val="28"/>
          <w:lang w:val="en-US"/>
        </w:rPr>
      </w:pPr>
    </w:p>
    <w:p w14:paraId="7EB4ADEC">
      <w:pPr>
        <w:spacing w:before="120" w:beforeLines="50" w:after="120" w:afterLines="50" w:line="360" w:lineRule="auto"/>
        <w:jc w:val="center"/>
        <w:outlineLvl w:val="1"/>
        <w:rPr>
          <w:rFonts w:ascii="Times New Roman" w:hAnsi="Times New Roman"/>
          <w:b/>
          <w:bCs/>
          <w:sz w:val="28"/>
          <w:szCs w:val="28"/>
          <w:lang w:val="en-US"/>
        </w:rPr>
      </w:pPr>
      <w:bookmarkStart w:id="24" w:name="_Toc487457225"/>
      <w:r>
        <w:rPr>
          <w:rFonts w:ascii="Times New Roman" w:hAnsi="Times New Roman"/>
          <w:b/>
          <w:bCs/>
          <w:sz w:val="28"/>
          <w:szCs w:val="28"/>
          <w:lang w:val="en-US"/>
        </w:rPr>
        <w:t>第四章 上市后管理</w:t>
      </w:r>
      <w:bookmarkEnd w:id="24"/>
    </w:p>
    <w:p w14:paraId="74812699">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25" w:name="_Toc1778643596"/>
      <w:r>
        <w:rPr>
          <w:rFonts w:ascii="Times New Roman" w:hAnsi="Times New Roman"/>
          <w:b/>
          <w:bCs/>
          <w:sz w:val="28"/>
          <w:szCs w:val="28"/>
          <w:lang w:val="en-US"/>
        </w:rPr>
        <w:t>一、不良事件监测</w:t>
      </w:r>
      <w:bookmarkEnd w:id="25"/>
    </w:p>
    <w:p w14:paraId="19B2C32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产品注册人、备案人应当建立健全医疗器械不良事件监测体系，配备监测机构和人员，主动收集、分析、评价产品不良事件相关信息。按照规定的时限以及途径向医疗器械不良事件监测技术机构报告不良事件，不得迟报、漏报、瞒报。对发现的风险信号应当及时开展调查评估，并根据情况采取停止生产销售、实施产品召回、发布风险信息等风险控制措施，降低用械风险。</w:t>
      </w:r>
    </w:p>
    <w:p w14:paraId="79F4931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生产经营企业应当协助产品注册人、备案人对其所生产经营的产品开展不良事件监测。</w:t>
      </w:r>
    </w:p>
    <w:p w14:paraId="36BBCBD9">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26" w:name="_Toc653850647"/>
      <w:r>
        <w:rPr>
          <w:rFonts w:ascii="Times New Roman" w:hAnsi="Times New Roman"/>
          <w:b/>
          <w:bCs/>
          <w:sz w:val="28"/>
          <w:szCs w:val="28"/>
          <w:lang w:val="en-US"/>
        </w:rPr>
        <w:t>二、召回管理</w:t>
      </w:r>
      <w:bookmarkEnd w:id="26"/>
    </w:p>
    <w:p w14:paraId="5D880C4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产品注册人、备案人发现已上市产品不符合强制性标准、经注册或备案的产品技术要求，或存在其他缺陷的，应当立即停止生产、经营相关产品，主动实施产品召回。根据缺陷严重程度、涉及范围等确定召回级别，制定召回计划，及时通知相关经营企业、使用单位、消费者停止经营和使用，并向省级药品监督管理部门及原注册、备案部门提交评估报告和召回计划，对召回产品统一登记、规范处置。召回完成后，按规定向省级药品监督管理部门提交召回总结评估报告。</w:t>
      </w:r>
    </w:p>
    <w:p w14:paraId="474C3F2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境内代理人应当协助产品注册人、备案人履行产品召回义务。</w:t>
      </w:r>
    </w:p>
    <w:p w14:paraId="531FDE49">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27" w:name="_Toc1964946254"/>
      <w:r>
        <w:rPr>
          <w:rFonts w:ascii="Times New Roman" w:hAnsi="Times New Roman"/>
          <w:b/>
          <w:bCs/>
          <w:sz w:val="28"/>
          <w:szCs w:val="28"/>
          <w:lang w:val="en-US"/>
        </w:rPr>
        <w:t>三、年度报告与信息更新</w:t>
      </w:r>
      <w:bookmarkEnd w:id="27"/>
    </w:p>
    <w:p w14:paraId="089F80E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产品注册人、备案人、受托生产企业应当每年向所在地药品监督管理部门提交自查报告；进口产品注册人、备案人应当由其境内代理人向省级药品监督管理部门提交自查报告。自查报告内容涵盖质量管理体系运行、产品质量控制、不良事件监测、产品变更等情况。</w:t>
      </w:r>
    </w:p>
    <w:p w14:paraId="6A218E83">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产品注册人、备案人应当每年完成产品上市后定期风险评价报告，并按照规定将报告提交或留存备查。产品经国家药品监督管理局注册的，应当向国家监测机构提交报告；产品经省级药品监督管理部门注册的，应当向省级监测机构提交报告；产品属于第一类医疗器械的，应当由产品注册人、备案人将报告留存备查。</w:t>
      </w:r>
    </w:p>
    <w:p w14:paraId="24651AF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产品注册信息发生变化的，产品注册人应当立即在国家医疗器械不良事件监测信息系统中进行更新，确保监管信息真实有效。</w:t>
      </w:r>
    </w:p>
    <w:p w14:paraId="55C78A35">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28" w:name="_Toc1496282678"/>
      <w:r>
        <w:rPr>
          <w:rFonts w:ascii="Times New Roman" w:hAnsi="Times New Roman"/>
          <w:b/>
          <w:bCs/>
          <w:sz w:val="28"/>
          <w:szCs w:val="28"/>
          <w:lang w:val="en-US"/>
        </w:rPr>
        <w:t>四、监督配合</w:t>
      </w:r>
      <w:bookmarkEnd w:id="28"/>
    </w:p>
    <w:p w14:paraId="630DFA5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企业应当积极配合药品监督管理部门开展监督检查、抽样检验、风险排查、事故调查等监管工作，并如实提供相关文件、记录、样品及信息。对监管部门指出的问题与隐患，按期完成整改并报送整改情况。不得拒绝、阻挠监管部门依法开展的监督执法活动。</w:t>
      </w:r>
    </w:p>
    <w:p w14:paraId="2A4A4C80">
      <w:pPr>
        <w:spacing w:before="120" w:beforeLines="50" w:after="120" w:afterLines="50" w:line="360" w:lineRule="auto"/>
        <w:ind w:firstLine="560" w:firstLineChars="200"/>
        <w:jc w:val="both"/>
        <w:rPr>
          <w:rFonts w:ascii="Times New Roman" w:hAnsi="Times New Roman"/>
          <w:sz w:val="28"/>
          <w:szCs w:val="28"/>
          <w:lang w:val="en-US"/>
        </w:rPr>
      </w:pPr>
    </w:p>
    <w:p w14:paraId="7F65A35D">
      <w:pPr>
        <w:spacing w:before="120" w:beforeLines="50" w:after="120" w:afterLines="50" w:line="360" w:lineRule="auto"/>
        <w:jc w:val="center"/>
        <w:outlineLvl w:val="1"/>
        <w:rPr>
          <w:rFonts w:ascii="Times New Roman" w:hAnsi="Times New Roman"/>
          <w:b/>
          <w:bCs/>
          <w:sz w:val="28"/>
          <w:szCs w:val="28"/>
          <w:lang w:val="en-US"/>
        </w:rPr>
      </w:pPr>
      <w:bookmarkStart w:id="29" w:name="_Toc644481127"/>
      <w:r>
        <w:rPr>
          <w:rFonts w:ascii="Times New Roman" w:hAnsi="Times New Roman"/>
          <w:b/>
          <w:bCs/>
          <w:sz w:val="28"/>
          <w:szCs w:val="28"/>
          <w:lang w:val="en-US"/>
        </w:rPr>
        <w:t>第五章 合规管理</w:t>
      </w:r>
      <w:bookmarkEnd w:id="29"/>
    </w:p>
    <w:p w14:paraId="793910F5">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30" w:name="_Toc1756588627"/>
      <w:r>
        <w:rPr>
          <w:rFonts w:ascii="Times New Roman" w:hAnsi="Times New Roman"/>
          <w:b/>
          <w:bCs/>
          <w:sz w:val="28"/>
          <w:szCs w:val="28"/>
          <w:lang w:val="en-US"/>
        </w:rPr>
        <w:t>一、知识产权合规</w:t>
      </w:r>
      <w:bookmarkEnd w:id="30"/>
    </w:p>
    <w:p w14:paraId="1D4C6FA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企业研发、生产、经营全过程应当尊重他人知识产权，不得侵犯他人专利权、商标权、著作权及商业秘密等合法权益。生产经营过程中不得未经许可实施他人专利、使用他人注册商标及作品，不得假冒专利或以反向工程侵害他人技术权益。</w:t>
      </w:r>
    </w:p>
    <w:p w14:paraId="1865369D">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31" w:name="_Toc583866165"/>
      <w:r>
        <w:rPr>
          <w:rFonts w:ascii="Times New Roman" w:hAnsi="Times New Roman"/>
          <w:b/>
          <w:bCs/>
          <w:sz w:val="28"/>
          <w:szCs w:val="28"/>
          <w:lang w:val="en-US"/>
        </w:rPr>
        <w:t>二、数据合规</w:t>
      </w:r>
      <w:bookmarkEnd w:id="31"/>
    </w:p>
    <w:p w14:paraId="7DECD4B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企业应当严格规范个人信息处理活动，落实数据安全保护责任，保障信息主体合法权益。处理个人信息，应当遵循最小必要原则，不得超范围收集、使用数据，除法定豁免情形外，应当取得信息主体的同意；处理医疗健康信息等敏感个人信息，应当取得信息主体的单独同意。向境外提供个人信息，除法定豁免情形外，应当按照规定，通过国家网信部门组织的安全评估，或经专业机构进行个人信息保护认证，或与境外接收方订立标准合同。</w:t>
      </w:r>
    </w:p>
    <w:p w14:paraId="01A851DD">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32" w:name="_Toc43770390"/>
      <w:r>
        <w:rPr>
          <w:rFonts w:ascii="Times New Roman" w:hAnsi="Times New Roman"/>
          <w:b/>
          <w:bCs/>
          <w:sz w:val="28"/>
          <w:szCs w:val="28"/>
          <w:lang w:val="en-US"/>
        </w:rPr>
        <w:t>三、反垄断</w:t>
      </w:r>
      <w:bookmarkEnd w:id="32"/>
    </w:p>
    <w:p w14:paraId="31592A6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企业应当严格遵守反垄断监管规定，公平参与市场竞争，自觉维护市场竞争秩序。不得与同业经营者达成固定价格、分割市场、限制产销量等横向垄断协议；除法定豁免情形外，不得与交易相对人达成固定转售价格、限定最低转售价格等纵向垄断协议。具有市场支配地位的企业，不得滥用市场支配地位排除、限制市场竞争，不得实施不公平高价、无正当理由拒绝交易、差别待遇、强制搭售等行为。经营者合并、股权收购等集中行为达到法定申报标准的，应当依法事先向国务院反垄断执法机构申报，未经申报不得实施集中。</w:t>
      </w:r>
    </w:p>
    <w:p w14:paraId="44BBB3B1">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33" w:name="_Toc1980262769"/>
      <w:r>
        <w:rPr>
          <w:rFonts w:ascii="Times New Roman" w:hAnsi="Times New Roman"/>
          <w:b/>
          <w:bCs/>
          <w:sz w:val="28"/>
          <w:szCs w:val="28"/>
          <w:lang w:val="en-US"/>
        </w:rPr>
        <w:t>四、反不正当竞争</w:t>
      </w:r>
      <w:bookmarkEnd w:id="33"/>
    </w:p>
    <w:p w14:paraId="6FE9543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企业不得实施市场混淆行为，不得擅自使用与他人有一定影响的商品名称、包装、装潢等相同或近似的标识，不得擅自使用他人有一定影响的名称等，误导交易相对方。不得对产品的功效、性能、认证、临床效果等作虚假或引人误解的商业宣传。不得通过虚假交易、虚假评价等方式损害同业经营者的商业信誉、商品声誉。不得以贿赂、欺诈、电子侵入等不正当手段获取他人的商业秘密。不得在购销环节采用给付财物或其他手段实施商业贿赂。</w:t>
      </w:r>
    </w:p>
    <w:p w14:paraId="6550D271">
      <w:pPr>
        <w:spacing w:before="120" w:beforeLines="50" w:after="120" w:afterLines="50" w:line="360" w:lineRule="auto"/>
        <w:ind w:firstLine="560" w:firstLineChars="200"/>
        <w:jc w:val="both"/>
        <w:rPr>
          <w:rFonts w:ascii="Times New Roman" w:hAnsi="Times New Roman"/>
          <w:sz w:val="28"/>
          <w:szCs w:val="28"/>
          <w:lang w:val="en-US"/>
        </w:rPr>
      </w:pPr>
    </w:p>
    <w:p w14:paraId="68A61AAE">
      <w:pPr>
        <w:spacing w:before="120" w:beforeLines="50" w:after="120" w:afterLines="50" w:line="360" w:lineRule="auto"/>
        <w:jc w:val="center"/>
        <w:outlineLvl w:val="1"/>
        <w:rPr>
          <w:rFonts w:ascii="Times New Roman" w:hAnsi="Times New Roman"/>
          <w:b/>
          <w:bCs/>
          <w:sz w:val="28"/>
          <w:szCs w:val="28"/>
          <w:lang w:val="en-US"/>
        </w:rPr>
      </w:pPr>
      <w:bookmarkStart w:id="34" w:name="_Toc366412003"/>
      <w:r>
        <w:rPr>
          <w:rFonts w:ascii="Times New Roman" w:hAnsi="Times New Roman"/>
          <w:b/>
          <w:bCs/>
          <w:sz w:val="28"/>
          <w:szCs w:val="28"/>
          <w:lang w:val="en-US"/>
        </w:rPr>
        <w:t>第六章 生态保护管理</w:t>
      </w:r>
      <w:bookmarkEnd w:id="34"/>
    </w:p>
    <w:p w14:paraId="475A790D">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35" w:name="_Toc403354859"/>
      <w:r>
        <w:rPr>
          <w:rFonts w:ascii="Times New Roman" w:hAnsi="Times New Roman"/>
          <w:b/>
          <w:bCs/>
          <w:sz w:val="28"/>
          <w:szCs w:val="28"/>
          <w:lang w:val="en-US"/>
        </w:rPr>
        <w:t>一、环境评价</w:t>
      </w:r>
      <w:bookmarkEnd w:id="35"/>
    </w:p>
    <w:p w14:paraId="74E2BA8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    企业建设对生态环境有影响的项目，应当依法进行生态环境影响评价，并根据项目对生态环境的影响程度，分别编制生态环境影响报告书、生态环境影响报告表或填报生态环境影响登记表。</w:t>
      </w:r>
    </w:p>
    <w:p w14:paraId="391A4F24">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36" w:name="_Toc288190063"/>
      <w:r>
        <w:rPr>
          <w:rFonts w:ascii="Times New Roman" w:hAnsi="Times New Roman"/>
          <w:b/>
          <w:bCs/>
          <w:sz w:val="28"/>
          <w:szCs w:val="28"/>
          <w:lang w:val="en-US"/>
        </w:rPr>
        <w:t>二、固废处置</w:t>
      </w:r>
      <w:bookmarkEnd w:id="36"/>
    </w:p>
    <w:p w14:paraId="415AF53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产生工业固体废物的企业应当建立健全工业固体废物产生、收集、贮存、运输、利用、处置全过程的污染防治责任制度，建立工业固体废物管理台账，如实记录产生工业固体废物的种类、数量、流向、贮存、利用、处置等信息，实现工业固体废物可追溯、可查询，并采取防治工业固体废物污染的措施。对于工业固体废物，应当合理回收利用或规范处置，不得随意倾倒、堆放。</w:t>
      </w:r>
    </w:p>
    <w:p w14:paraId="597E105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产生危险废物的企业应当制定危险废物管理计划，并报所在地生态环境主管部门备案。建立危险废物管理台账，如实记录有关信息，并通过国家危险废物信息管理系统向所在地生态环境主管部门进行申报。</w:t>
      </w:r>
    </w:p>
    <w:p w14:paraId="54463093">
      <w:pPr>
        <w:spacing w:before="120" w:beforeLines="50" w:after="120" w:afterLines="50" w:line="360" w:lineRule="auto"/>
        <w:ind w:firstLine="562" w:firstLineChars="200"/>
        <w:jc w:val="both"/>
        <w:outlineLvl w:val="2"/>
        <w:rPr>
          <w:rFonts w:ascii="Times New Roman" w:hAnsi="Times New Roman"/>
          <w:b/>
          <w:bCs/>
          <w:sz w:val="28"/>
          <w:szCs w:val="28"/>
          <w:lang w:val="en-US"/>
        </w:rPr>
      </w:pPr>
      <w:bookmarkStart w:id="37" w:name="_Toc146215225"/>
      <w:r>
        <w:rPr>
          <w:rFonts w:ascii="Times New Roman" w:hAnsi="Times New Roman"/>
          <w:b/>
          <w:bCs/>
          <w:sz w:val="28"/>
          <w:szCs w:val="28"/>
          <w:lang w:val="en-US"/>
        </w:rPr>
        <w:t>三、排污许可</w:t>
      </w:r>
      <w:bookmarkEnd w:id="37"/>
    </w:p>
    <w:p w14:paraId="6B476AC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企业需要排放污染物的，应当向设区的市级以上生态环境主管部门申请取得排污许可证，按照许可证载明的排放口位置、污染物排放种类、许可排放浓度、许可排放量等要求排放污染物。开展污染物排放自行监测，保存原始监测记录，确保污染物达标排放。</w:t>
      </w:r>
    </w:p>
    <w:p w14:paraId="1494460F">
      <w:pPr>
        <w:spacing w:before="120" w:beforeLines="50" w:after="120" w:afterLines="50" w:line="360" w:lineRule="auto"/>
        <w:ind w:firstLine="560" w:firstLineChars="200"/>
        <w:jc w:val="both"/>
        <w:rPr>
          <w:rFonts w:ascii="Times New Roman" w:hAnsi="Times New Roman"/>
          <w:sz w:val="28"/>
          <w:szCs w:val="28"/>
        </w:rPr>
      </w:pPr>
    </w:p>
    <w:p w14:paraId="05018EFA">
      <w:pPr>
        <w:spacing w:before="120" w:beforeLines="50" w:after="120" w:afterLines="50" w:line="360" w:lineRule="auto"/>
        <w:jc w:val="center"/>
        <w:outlineLvl w:val="0"/>
        <w:rPr>
          <w:rFonts w:ascii="Times New Roman" w:hAnsi="Times New Roman"/>
          <w:b/>
          <w:bCs/>
          <w:sz w:val="28"/>
          <w:szCs w:val="28"/>
        </w:rPr>
      </w:pPr>
      <w:bookmarkStart w:id="38" w:name="_Toc1769315546"/>
      <w:r>
        <w:rPr>
          <w:rFonts w:hint="eastAsia" w:ascii="Times New Roman" w:hAnsi="Times New Roman"/>
          <w:b/>
          <w:bCs/>
          <w:sz w:val="28"/>
          <w:szCs w:val="28"/>
        </w:rPr>
        <w:t>二、出海篇</w:t>
      </w:r>
      <w:bookmarkEnd w:id="38"/>
    </w:p>
    <w:p w14:paraId="2F75F472">
      <w:pPr>
        <w:pStyle w:val="2"/>
        <w:keepNext/>
        <w:keepLines/>
        <w:numPr>
          <w:ilvl w:val="0"/>
          <w:numId w:val="1"/>
        </w:numPr>
        <w:spacing w:before="120" w:beforeLines="50" w:after="120" w:afterLines="50" w:line="360" w:lineRule="auto"/>
        <w:jc w:val="center"/>
        <w:outlineLvl w:val="1"/>
        <w:rPr>
          <w:rFonts w:ascii="Times New Roman" w:hAnsi="Times New Roman"/>
          <w:b/>
          <w:bCs/>
          <w:color w:val="auto"/>
          <w:sz w:val="28"/>
          <w:szCs w:val="28"/>
          <w:lang w:val="en-GB"/>
        </w:rPr>
      </w:pPr>
      <w:r>
        <w:rPr>
          <w:rFonts w:hint="eastAsia" w:ascii="Times New Roman" w:hAnsi="Times New Roman"/>
          <w:b/>
          <w:bCs/>
          <w:color w:val="auto"/>
          <w:sz w:val="28"/>
          <w:szCs w:val="28"/>
          <w:lang w:val="en-GB"/>
        </w:rPr>
        <w:t xml:space="preserve"> </w:t>
      </w:r>
      <w:bookmarkStart w:id="39" w:name="_Toc1369743917"/>
      <w:r>
        <w:rPr>
          <w:rFonts w:hint="eastAsia" w:ascii="Times New Roman" w:hAnsi="Times New Roman"/>
          <w:b/>
          <w:bCs/>
          <w:color w:val="auto"/>
          <w:sz w:val="28"/>
          <w:szCs w:val="28"/>
          <w:lang w:val="en-GB"/>
        </w:rPr>
        <w:t>产品出海</w:t>
      </w:r>
      <w:bookmarkEnd w:id="39"/>
    </w:p>
    <w:p w14:paraId="5B2F97E6">
      <w:pPr>
        <w:pStyle w:val="26"/>
        <w:numPr>
          <w:ilvl w:val="1"/>
          <w:numId w:val="1"/>
        </w:numPr>
        <w:spacing w:before="120" w:beforeLines="50" w:after="120" w:afterLines="50" w:line="360" w:lineRule="auto"/>
        <w:jc w:val="center"/>
        <w:rPr>
          <w:rFonts w:ascii="Times New Roman" w:hAnsi="Times New Roman"/>
          <w:b/>
          <w:bCs/>
          <w:sz w:val="28"/>
          <w:szCs w:val="28"/>
          <w:lang w:val="en-GB"/>
        </w:rPr>
      </w:pPr>
      <w:r>
        <w:rPr>
          <w:rFonts w:hint="eastAsia" w:ascii="Times New Roman" w:hAnsi="Times New Roman"/>
          <w:b/>
          <w:bCs/>
          <w:sz w:val="28"/>
          <w:szCs w:val="28"/>
          <w:lang w:val="en-GB"/>
        </w:rPr>
        <w:t xml:space="preserve"> 总则</w:t>
      </w:r>
    </w:p>
    <w:p w14:paraId="4BE32E44">
      <w:pPr>
        <w:pStyle w:val="26"/>
        <w:numPr>
          <w:ilvl w:val="2"/>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国内出口监管体系</w:t>
      </w:r>
    </w:p>
    <w:p w14:paraId="6572CD21">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医疗器械出口规则概述</w:t>
      </w:r>
    </w:p>
    <w:p w14:paraId="00345072">
      <w:pPr>
        <w:pStyle w:val="26"/>
        <w:numPr>
          <w:ilvl w:val="4"/>
          <w:numId w:val="1"/>
        </w:numPr>
        <w:spacing w:before="120" w:beforeLines="50" w:after="120" w:afterLines="50" w:line="360" w:lineRule="auto"/>
        <w:ind w:left="0"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企业及产品资质</w:t>
      </w:r>
    </w:p>
    <w:p w14:paraId="494C4B6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我国对医疗器械出口的总体要求见于《医疗器械监督管理条例》第五十九条，“</w:t>
      </w:r>
      <w:r>
        <w:rPr>
          <w:rFonts w:ascii="Times New Roman" w:hAnsi="Times New Roman"/>
          <w:sz w:val="28"/>
          <w:szCs w:val="28"/>
        </w:rPr>
        <w:t>出口医疗器械的企业应当保证其出口的医疗器械符合进口国</w:t>
      </w:r>
      <w:r>
        <w:rPr>
          <w:rFonts w:hint="eastAsia" w:ascii="Times New Roman" w:hAnsi="Times New Roman"/>
          <w:sz w:val="28"/>
          <w:szCs w:val="28"/>
        </w:rPr>
        <w:t>（</w:t>
      </w:r>
      <w:r>
        <w:rPr>
          <w:rFonts w:ascii="Times New Roman" w:hAnsi="Times New Roman"/>
          <w:sz w:val="28"/>
          <w:szCs w:val="28"/>
        </w:rPr>
        <w:t>地区</w:t>
      </w:r>
      <w:r>
        <w:rPr>
          <w:rFonts w:hint="eastAsia" w:ascii="Times New Roman" w:hAnsi="Times New Roman"/>
          <w:sz w:val="28"/>
          <w:szCs w:val="28"/>
        </w:rPr>
        <w:t>）</w:t>
      </w:r>
      <w:r>
        <w:rPr>
          <w:rFonts w:ascii="Times New Roman" w:hAnsi="Times New Roman"/>
          <w:sz w:val="28"/>
          <w:szCs w:val="28"/>
        </w:rPr>
        <w:t>的要求。</w:t>
      </w:r>
      <w:r>
        <w:rPr>
          <w:rFonts w:hint="eastAsia" w:ascii="Times New Roman" w:hAnsi="Times New Roman"/>
          <w:sz w:val="28"/>
          <w:szCs w:val="28"/>
        </w:rPr>
        <w:t>”本条明确，出口的医疗器械的合规标准应当以目的国规定为准。具体到企业资质和产品资质而言，包含以下两点：一是我国对于出口医疗器械的企业并无特殊资质要求。对于不再境内销售医疗器械、仅出口到国外的外贸出口企业，我国法律法规并未要求其办理医疗器械经营备案或许可，但对于同时在我国境内从事医疗器械生产、经营的企业，仍需依据我国医疗器械监管规定取得相应生产或经营资质。二是我国未强制要求出口的医疗器械必须已在我国境内完成上市。对于出口的医疗器械应具备的产品资质，应根据进口国（地区）的医疗器械监管规定具体确定。结合《</w:t>
      </w:r>
      <w:r>
        <w:rPr>
          <w:rFonts w:ascii="Times New Roman" w:hAnsi="Times New Roman"/>
          <w:sz w:val="28"/>
          <w:szCs w:val="28"/>
        </w:rPr>
        <w:t>医疗器械出口销售证明管理规定</w:t>
      </w:r>
      <w:r>
        <w:rPr>
          <w:rFonts w:hint="eastAsia" w:ascii="Times New Roman" w:hAnsi="Times New Roman"/>
          <w:sz w:val="28"/>
          <w:szCs w:val="28"/>
        </w:rPr>
        <w:t>》第五条，国家为支持医疗器械出口贸易，对于拟出口的未在中国境内注册或者备案的医疗器械，其生产企业可申请《医疗器械出口销售证明（II）》，以此更好地应对进口国（地区）对于医疗器械产品的资质要求。</w:t>
      </w:r>
    </w:p>
    <w:p w14:paraId="33655C3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建议企业</w:t>
      </w:r>
      <w:r>
        <w:rPr>
          <w:rFonts w:ascii="Times New Roman" w:hAnsi="Times New Roman"/>
          <w:sz w:val="28"/>
          <w:szCs w:val="28"/>
        </w:rPr>
        <w:t>在出货前完成目的国要求的合规评估与准入安排，确保</w:t>
      </w:r>
      <w:r>
        <w:rPr>
          <w:rFonts w:hint="eastAsia" w:ascii="Times New Roman" w:hAnsi="Times New Roman"/>
          <w:sz w:val="28"/>
          <w:szCs w:val="28"/>
        </w:rPr>
        <w:t>拟出口医疗器械</w:t>
      </w:r>
      <w:r>
        <w:rPr>
          <w:rFonts w:ascii="Times New Roman" w:hAnsi="Times New Roman"/>
          <w:sz w:val="28"/>
          <w:szCs w:val="28"/>
        </w:rPr>
        <w:t>在标签与说明书、技术文档、以及必要的注册/备案或合格评定路径上满足目的国规则。</w:t>
      </w:r>
    </w:p>
    <w:p w14:paraId="71FED6A4">
      <w:pPr>
        <w:pStyle w:val="26"/>
        <w:numPr>
          <w:ilvl w:val="4"/>
          <w:numId w:val="1"/>
        </w:numPr>
        <w:spacing w:before="120" w:beforeLines="50" w:after="120" w:afterLines="50" w:line="360" w:lineRule="auto"/>
        <w:ind w:left="0"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出口证明文件</w:t>
      </w:r>
    </w:p>
    <w:p w14:paraId="38FFA093">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出口销售证明并非中国海关在口岸放行货物的必备或强制单证，而是国内药品监督管理部门出具的、用于方便目的国入关或注册的证明性文件，用以证明产品已按国内要求注册或具备符合 GMP的生产条件。不申请该证明，货物在海关口岸本身没有法定出关障碍；但多数目的国在清关与注册环节普遍要求随附，业内事实上普遍申请。</w:t>
      </w:r>
    </w:p>
    <w:p w14:paraId="2592E611">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出口销售证明由企业所在地省级药监部门或其负责药品监督管理的部门办理，各省细则不一，</w:t>
      </w:r>
      <w:r>
        <w:rPr>
          <w:rFonts w:hint="eastAsia" w:ascii="Times New Roman" w:hAnsi="Times New Roman"/>
          <w:sz w:val="28"/>
          <w:szCs w:val="28"/>
        </w:rPr>
        <w:t>建议</w:t>
      </w:r>
      <w:r>
        <w:rPr>
          <w:rFonts w:ascii="Times New Roman" w:hAnsi="Times New Roman"/>
          <w:sz w:val="28"/>
          <w:szCs w:val="28"/>
        </w:rPr>
        <w:t>企业首次办理前</w:t>
      </w:r>
      <w:r>
        <w:rPr>
          <w:rFonts w:hint="eastAsia" w:ascii="Times New Roman" w:hAnsi="Times New Roman"/>
          <w:sz w:val="28"/>
          <w:szCs w:val="28"/>
        </w:rPr>
        <w:t>可向</w:t>
      </w:r>
      <w:r>
        <w:rPr>
          <w:rFonts w:ascii="Times New Roman" w:hAnsi="Times New Roman"/>
          <w:sz w:val="28"/>
          <w:szCs w:val="28"/>
        </w:rPr>
        <w:t>所在地省级</w:t>
      </w:r>
      <w:r>
        <w:rPr>
          <w:rFonts w:hint="eastAsia" w:ascii="Times New Roman" w:hAnsi="Times New Roman"/>
          <w:sz w:val="28"/>
          <w:szCs w:val="28"/>
        </w:rPr>
        <w:t>药品监督管理部门咨询确定</w:t>
      </w:r>
      <w:r>
        <w:rPr>
          <w:rFonts w:ascii="Times New Roman" w:hAnsi="Times New Roman"/>
          <w:sz w:val="28"/>
          <w:szCs w:val="28"/>
        </w:rPr>
        <w:t>。办理时限最长不超过二十个工作日，现场检查与企业整改时间不计入。证明有效期跟随所提交证件中最先到期日，其中第一类证明有效期不超过三年。证明采用电子形式，与纸质证明同等效力。企业被列入严重违法失信名单、提交虚假资料、处于责令停产整改或涉案处理期间的，药监部门不予出具；骗取或伪造证明的，五年内不再为其出具。</w:t>
      </w:r>
    </w:p>
    <w:p w14:paraId="56E8D18E">
      <w:pPr>
        <w:pStyle w:val="26"/>
        <w:numPr>
          <w:ilvl w:val="4"/>
          <w:numId w:val="1"/>
        </w:numPr>
        <w:spacing w:before="120" w:beforeLines="50" w:after="120" w:afterLines="50" w:line="360" w:lineRule="auto"/>
        <w:ind w:left="0"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海关监管要求</w:t>
      </w:r>
    </w:p>
    <w:p w14:paraId="65EF15B3">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根据《海关法》第二条，</w:t>
      </w:r>
      <w:r>
        <w:rPr>
          <w:rFonts w:ascii="Times New Roman" w:hAnsi="Times New Roman"/>
          <w:sz w:val="28"/>
          <w:szCs w:val="28"/>
        </w:rPr>
        <w:t>中华人民共和国海关是国家的进出关境（以下简称进出境）监督管理机关。2018年后，原质检总局的商检部门合并至海关，由海关总署主管全国的进出口商品检验工作。</w:t>
      </w:r>
      <w:r>
        <w:rPr>
          <w:rFonts w:hint="eastAsia" w:ascii="Times New Roman" w:hAnsi="Times New Roman"/>
          <w:sz w:val="28"/>
          <w:szCs w:val="28"/>
        </w:rPr>
        <w:t>“关检合一”后，海关除负责</w:t>
      </w:r>
      <w:r>
        <w:rPr>
          <w:rFonts w:ascii="Times New Roman" w:hAnsi="Times New Roman"/>
          <w:sz w:val="28"/>
          <w:szCs w:val="28"/>
        </w:rPr>
        <w:t>监管进出境的运输工具、货物、行李物品、邮递物品和其他物品</w:t>
      </w:r>
      <w:r>
        <w:rPr>
          <w:rFonts w:hint="eastAsia" w:ascii="Times New Roman" w:hAnsi="Times New Roman"/>
          <w:sz w:val="28"/>
          <w:szCs w:val="28"/>
        </w:rPr>
        <w:t>，</w:t>
      </w:r>
      <w:r>
        <w:rPr>
          <w:rFonts w:ascii="Times New Roman" w:hAnsi="Times New Roman"/>
          <w:sz w:val="28"/>
          <w:szCs w:val="28"/>
        </w:rPr>
        <w:t>征收关税和其他税、费，查缉走私，并编制海关统计</w:t>
      </w:r>
      <w:r>
        <w:rPr>
          <w:rFonts w:hint="eastAsia" w:ascii="Times New Roman" w:hAnsi="Times New Roman"/>
          <w:sz w:val="28"/>
          <w:szCs w:val="28"/>
        </w:rPr>
        <w:t>等海外业务之外，同时承担包括</w:t>
      </w:r>
      <w:r>
        <w:rPr>
          <w:rFonts w:ascii="Times New Roman" w:hAnsi="Times New Roman"/>
          <w:sz w:val="28"/>
          <w:szCs w:val="28"/>
        </w:rPr>
        <w:t>出入境商品检验</w:t>
      </w:r>
      <w:r>
        <w:rPr>
          <w:rFonts w:hint="eastAsia" w:ascii="Times New Roman" w:hAnsi="Times New Roman"/>
          <w:sz w:val="28"/>
          <w:szCs w:val="28"/>
        </w:rPr>
        <w:t>、</w:t>
      </w:r>
      <w:r>
        <w:rPr>
          <w:rFonts w:ascii="Times New Roman" w:hAnsi="Times New Roman"/>
          <w:sz w:val="28"/>
          <w:szCs w:val="28"/>
        </w:rPr>
        <w:t>出入境卫生检疫</w:t>
      </w:r>
      <w:r>
        <w:rPr>
          <w:rFonts w:hint="eastAsia" w:ascii="Times New Roman" w:hAnsi="Times New Roman"/>
          <w:sz w:val="28"/>
          <w:szCs w:val="28"/>
        </w:rPr>
        <w:t>、</w:t>
      </w:r>
      <w:r>
        <w:rPr>
          <w:rFonts w:ascii="Times New Roman" w:hAnsi="Times New Roman"/>
          <w:sz w:val="28"/>
          <w:szCs w:val="28"/>
        </w:rPr>
        <w:t>出入境动植物检疫</w:t>
      </w:r>
      <w:r>
        <w:rPr>
          <w:rFonts w:hint="eastAsia" w:ascii="Times New Roman" w:hAnsi="Times New Roman"/>
          <w:sz w:val="28"/>
          <w:szCs w:val="28"/>
        </w:rPr>
        <w:t>、</w:t>
      </w:r>
      <w:r>
        <w:rPr>
          <w:rFonts w:ascii="Times New Roman" w:hAnsi="Times New Roman"/>
          <w:sz w:val="28"/>
          <w:szCs w:val="28"/>
        </w:rPr>
        <w:t>进出口食品安全管理</w:t>
      </w:r>
      <w:r>
        <w:rPr>
          <w:rFonts w:hint="eastAsia" w:ascii="Times New Roman" w:hAnsi="Times New Roman"/>
          <w:sz w:val="28"/>
          <w:szCs w:val="28"/>
        </w:rPr>
        <w:t>在内的</w:t>
      </w:r>
      <w:r>
        <w:rPr>
          <w:rFonts w:ascii="Times New Roman" w:hAnsi="Times New Roman"/>
          <w:sz w:val="28"/>
          <w:szCs w:val="28"/>
        </w:rPr>
        <w:t>出入境检验检疫的职责</w:t>
      </w:r>
      <w:r>
        <w:rPr>
          <w:rFonts w:hint="eastAsia" w:ascii="Times New Roman" w:hAnsi="Times New Roman"/>
          <w:sz w:val="28"/>
          <w:szCs w:val="28"/>
        </w:rPr>
        <w:t>。</w:t>
      </w:r>
    </w:p>
    <w:p w14:paraId="212119CA">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根据《进出口商品检验法》相关规定，列入</w:t>
      </w:r>
      <w:r>
        <w:rPr>
          <w:rFonts w:ascii="Times New Roman" w:hAnsi="Times New Roman"/>
          <w:sz w:val="28"/>
          <w:szCs w:val="28"/>
        </w:rPr>
        <w:t>必须实施检验的进出口商品目录</w:t>
      </w:r>
      <w:r>
        <w:rPr>
          <w:rFonts w:hint="eastAsia" w:ascii="Times New Roman" w:hAnsi="Times New Roman"/>
          <w:sz w:val="28"/>
          <w:szCs w:val="28"/>
        </w:rPr>
        <w:t>的商品，未经检验合格不得出口。通常情况下报检应当在报关前完成，</w:t>
      </w:r>
      <w:r>
        <w:rPr>
          <w:rFonts w:ascii="Times New Roman" w:hAnsi="Times New Roman"/>
          <w:sz w:val="28"/>
          <w:szCs w:val="28"/>
        </w:rPr>
        <w:t>判断某一医疗器械是否需要出口法定检验，</w:t>
      </w:r>
      <w:r>
        <w:rPr>
          <w:rFonts w:hint="eastAsia" w:ascii="Times New Roman" w:hAnsi="Times New Roman"/>
          <w:sz w:val="28"/>
          <w:szCs w:val="28"/>
        </w:rPr>
        <w:t>可</w:t>
      </w:r>
      <w:r>
        <w:rPr>
          <w:rFonts w:ascii="Times New Roman" w:hAnsi="Times New Roman"/>
          <w:sz w:val="28"/>
          <w:szCs w:val="28"/>
        </w:rPr>
        <w:t>查询该产品对应的HS编码的检验检疫类别或监管条件是否包含</w:t>
      </w:r>
      <w:r>
        <w:rPr>
          <w:rFonts w:hint="eastAsia" w:ascii="Times New Roman" w:hAnsi="Times New Roman"/>
          <w:sz w:val="28"/>
          <w:szCs w:val="28"/>
        </w:rPr>
        <w:t>“</w:t>
      </w:r>
      <w:r>
        <w:rPr>
          <w:rFonts w:ascii="Times New Roman" w:hAnsi="Times New Roman"/>
          <w:sz w:val="28"/>
          <w:szCs w:val="28"/>
        </w:rPr>
        <w:t>B</w:t>
      </w:r>
      <w:r>
        <w:rPr>
          <w:rFonts w:hint="eastAsia" w:ascii="Times New Roman" w:hAnsi="Times New Roman"/>
          <w:sz w:val="28"/>
          <w:szCs w:val="28"/>
        </w:rPr>
        <w:t>”</w:t>
      </w:r>
      <w:r>
        <w:rPr>
          <w:rFonts w:ascii="Times New Roman" w:hAnsi="Times New Roman"/>
          <w:sz w:val="28"/>
          <w:szCs w:val="28"/>
        </w:rPr>
        <w:t>。</w:t>
      </w:r>
    </w:p>
    <w:p w14:paraId="4EFC66F9">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根据</w:t>
      </w:r>
      <w:r>
        <w:rPr>
          <w:rFonts w:ascii="Times New Roman" w:hAnsi="Times New Roman"/>
          <w:sz w:val="28"/>
          <w:szCs w:val="28"/>
        </w:rPr>
        <w:t>《海关报关单位备案管理规定》</w:t>
      </w:r>
      <w:r>
        <w:rPr>
          <w:rFonts w:hint="eastAsia" w:ascii="Times New Roman" w:hAnsi="Times New Roman"/>
          <w:sz w:val="28"/>
          <w:szCs w:val="28"/>
        </w:rPr>
        <w:t>，企业在首次开展进出口业务前，</w:t>
      </w:r>
      <w:r>
        <w:rPr>
          <w:rFonts w:ascii="Times New Roman" w:hAnsi="Times New Roman"/>
          <w:sz w:val="28"/>
          <w:szCs w:val="28"/>
        </w:rPr>
        <w:t>应办理进出口货物收发货人备案。委托代理报关不改变出口货物收发货人的法律地位和合规责任，企业仍须确保申报内容的真实性和准确性。</w:t>
      </w:r>
    </w:p>
    <w:p w14:paraId="6E01D35C">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对于海关报关流程，</w:t>
      </w:r>
      <w:r>
        <w:rPr>
          <w:rFonts w:ascii="Times New Roman" w:hAnsi="Times New Roman"/>
          <w:sz w:val="28"/>
          <w:szCs w:val="28"/>
        </w:rPr>
        <w:t>企业</w:t>
      </w:r>
      <w:r>
        <w:rPr>
          <w:rFonts w:hint="eastAsia" w:ascii="Times New Roman" w:hAnsi="Times New Roman"/>
          <w:sz w:val="28"/>
          <w:szCs w:val="28"/>
        </w:rPr>
        <w:t>应</w:t>
      </w:r>
      <w:r>
        <w:rPr>
          <w:rFonts w:ascii="Times New Roman" w:hAnsi="Times New Roman"/>
          <w:sz w:val="28"/>
          <w:szCs w:val="28"/>
        </w:rPr>
        <w:t>通过中国国际贸易单一窗口电子申报，提交出口货物报关单电子数据及随附单证。</w:t>
      </w:r>
      <w:r>
        <w:rPr>
          <w:rFonts w:hint="eastAsia" w:ascii="Times New Roman" w:hAnsi="Times New Roman"/>
          <w:sz w:val="28"/>
          <w:szCs w:val="28"/>
        </w:rPr>
        <w:t>除报关单外，随附于出口货物的其他单证主要包括基础商业单证，如外贸合同、发票、装箱单等。</w:t>
      </w:r>
      <w:r>
        <w:rPr>
          <w:rFonts w:ascii="Times New Roman" w:hAnsi="Times New Roman"/>
          <w:sz w:val="28"/>
          <w:szCs w:val="28"/>
        </w:rPr>
        <w:t>海关收到电子数据后进行审核，审核内容包括报关单填制是否规范、随附单证是否齐全、商品归类是否准确、价格是否合理、是否需要提交许可证件等。如果海关在查验中发现问题，可能要求企业补充资料或说明情况</w:t>
      </w:r>
      <w:r>
        <w:rPr>
          <w:rFonts w:hint="eastAsia" w:ascii="Times New Roman" w:hAnsi="Times New Roman"/>
          <w:sz w:val="28"/>
          <w:szCs w:val="28"/>
        </w:rPr>
        <w:t>、</w:t>
      </w:r>
      <w:r>
        <w:rPr>
          <w:rFonts w:ascii="Times New Roman" w:hAnsi="Times New Roman"/>
          <w:sz w:val="28"/>
          <w:szCs w:val="28"/>
        </w:rPr>
        <w:t>修改报关单</w:t>
      </w:r>
      <w:r>
        <w:rPr>
          <w:rFonts w:hint="eastAsia" w:ascii="Times New Roman" w:hAnsi="Times New Roman"/>
          <w:sz w:val="28"/>
          <w:szCs w:val="28"/>
        </w:rPr>
        <w:t>，或</w:t>
      </w:r>
      <w:r>
        <w:rPr>
          <w:rFonts w:ascii="Times New Roman" w:hAnsi="Times New Roman"/>
          <w:sz w:val="28"/>
          <w:szCs w:val="28"/>
        </w:rPr>
        <w:t>对货物进行扣留并开展进一步调查</w:t>
      </w:r>
      <w:r>
        <w:rPr>
          <w:rFonts w:hint="eastAsia" w:ascii="Times New Roman" w:hAnsi="Times New Roman"/>
          <w:sz w:val="28"/>
          <w:szCs w:val="28"/>
        </w:rPr>
        <w:t>。海关</w:t>
      </w:r>
      <w:r>
        <w:rPr>
          <w:rFonts w:ascii="Times New Roman" w:hAnsi="Times New Roman"/>
          <w:sz w:val="28"/>
          <w:szCs w:val="28"/>
        </w:rPr>
        <w:t>查验合格后放行</w:t>
      </w:r>
      <w:r>
        <w:rPr>
          <w:rFonts w:hint="eastAsia" w:ascii="Times New Roman" w:hAnsi="Times New Roman"/>
          <w:sz w:val="28"/>
          <w:szCs w:val="28"/>
        </w:rPr>
        <w:t>，</w:t>
      </w:r>
      <w:r>
        <w:rPr>
          <w:rFonts w:ascii="Times New Roman" w:hAnsi="Times New Roman"/>
          <w:sz w:val="28"/>
          <w:szCs w:val="28"/>
        </w:rPr>
        <w:t>货物离境结关</w:t>
      </w:r>
      <w:r>
        <w:rPr>
          <w:rFonts w:hint="eastAsia" w:ascii="Times New Roman" w:hAnsi="Times New Roman"/>
          <w:sz w:val="28"/>
          <w:szCs w:val="28"/>
        </w:rPr>
        <w:t>后</w:t>
      </w:r>
      <w:r>
        <w:rPr>
          <w:rFonts w:ascii="Times New Roman" w:hAnsi="Times New Roman"/>
          <w:sz w:val="28"/>
          <w:szCs w:val="28"/>
        </w:rPr>
        <w:t>生成出口报关单退税证明联。</w:t>
      </w:r>
    </w:p>
    <w:p w14:paraId="3CBC1924">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出口管制要求</w:t>
      </w:r>
    </w:p>
    <w:p w14:paraId="5665848B">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除</w:t>
      </w:r>
      <w:r>
        <w:rPr>
          <w:rFonts w:hint="eastAsia" w:ascii="Times New Roman" w:hAnsi="Times New Roman"/>
          <w:sz w:val="28"/>
          <w:szCs w:val="28"/>
        </w:rPr>
        <w:t>上述针对医疗器械出口的专项要求外</w:t>
      </w:r>
      <w:r>
        <w:rPr>
          <w:rFonts w:ascii="Times New Roman" w:hAnsi="Times New Roman"/>
          <w:sz w:val="28"/>
          <w:szCs w:val="28"/>
        </w:rPr>
        <w:t>，</w:t>
      </w:r>
      <w:r>
        <w:rPr>
          <w:rFonts w:hint="eastAsia" w:ascii="Times New Roman" w:hAnsi="Times New Roman"/>
          <w:sz w:val="28"/>
          <w:szCs w:val="28"/>
        </w:rPr>
        <w:t>建议</w:t>
      </w:r>
      <w:r>
        <w:rPr>
          <w:rFonts w:ascii="Times New Roman" w:hAnsi="Times New Roman"/>
          <w:sz w:val="28"/>
          <w:szCs w:val="28"/>
        </w:rPr>
        <w:t>企业对拟出口的医疗器械产品进行出口管制风险排查，判断该产品是否属于国家禁止出口或限制出口的货物，是否属于两用物项出口管制清单所列物项。这是医疗器械出口合规中最容易被忽视的环节。</w:t>
      </w:r>
    </w:p>
    <w:p w14:paraId="04D0BFCF">
      <w:pPr>
        <w:pStyle w:val="26"/>
        <w:numPr>
          <w:ilvl w:val="0"/>
          <w:numId w:val="2"/>
        </w:numPr>
        <w:spacing w:before="120" w:beforeLines="50" w:after="120" w:afterLines="50" w:line="360" w:lineRule="auto"/>
        <w:ind w:left="0"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限制或禁止出境的货物</w:t>
      </w:r>
    </w:p>
    <w:p w14:paraId="04A0EE00">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企业</w:t>
      </w:r>
      <w:r>
        <w:rPr>
          <w:rFonts w:hint="eastAsia" w:ascii="Times New Roman" w:hAnsi="Times New Roman"/>
          <w:sz w:val="28"/>
          <w:szCs w:val="28"/>
        </w:rPr>
        <w:t>可</w:t>
      </w:r>
      <w:r>
        <w:rPr>
          <w:rFonts w:ascii="Times New Roman" w:hAnsi="Times New Roman"/>
          <w:sz w:val="28"/>
          <w:szCs w:val="28"/>
        </w:rPr>
        <w:t>查询商务部会同有关部门发布的最新版《禁止出口货物目录》和《限制出口货物目录》，确认拟出口的医疗器械是否被列入其中。截至目前，绝大多数常规医疗器械未被列入禁止出口或限制出口货物目录，属于自由出口货物。</w:t>
      </w:r>
    </w:p>
    <w:p w14:paraId="045C275E">
      <w:pPr>
        <w:pStyle w:val="26"/>
        <w:numPr>
          <w:ilvl w:val="0"/>
          <w:numId w:val="2"/>
        </w:numPr>
        <w:spacing w:before="120" w:beforeLines="50" w:after="120" w:afterLines="50" w:line="360" w:lineRule="auto"/>
        <w:ind w:left="0"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生物安全、人类遗传资源出口管制</w:t>
      </w:r>
    </w:p>
    <w:p w14:paraId="5BF29FD8">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我国对人类遗传资源的对外提供与开放使用实行审批与报告双轨管理，上位法为《生物安全法》《人类遗传资源管理条例》及《人类遗传资源管理条例实施细则》。企业即便</w:t>
      </w:r>
      <w:r>
        <w:rPr>
          <w:rFonts w:hint="eastAsia" w:ascii="Times New Roman" w:hAnsi="Times New Roman"/>
          <w:sz w:val="28"/>
          <w:szCs w:val="28"/>
        </w:rPr>
        <w:t>不涉及相关科研项目</w:t>
      </w:r>
      <w:r>
        <w:rPr>
          <w:rFonts w:ascii="Times New Roman" w:hAnsi="Times New Roman"/>
          <w:sz w:val="28"/>
          <w:szCs w:val="28"/>
        </w:rPr>
        <w:t>，以下业务模式仍会直接触发规则：随设备或随研发合作向境外寄送患者样本、留样；通过远程监控、云平台、合作研究向境外CRO回传可识别个人的临床数据、不良事件数据或基因数据；与境外机构联合开展临床试验或真实世界研究。</w:t>
      </w:r>
    </w:p>
    <w:p w14:paraId="7D42B33C">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监管机关为科学技术部（科技部），具体由科技部人类遗传资源管理办公室承担。依实施细则，人类遗传资源材料（含人体基因组、基因等遗传物质的器官、组织、细胞）向境外组织、个人及其设立或实际控制机构提供，须经科技部行政许可（审批）；人类遗传资源信息（数据、记录、数据库）对外提供或开放使用，中方信息所有者应当向科技部事先报告并提交信息备份，由科技部进行安全审查。利用我国人类遗传资源开展国际科学研究合作的，由合作各方共同申请行政许可，并须通过各自所在国伦理审查，产生的记录与数据应完全向中方开放并提供备份。</w:t>
      </w:r>
    </w:p>
    <w:p w14:paraId="7D312250">
      <w:pPr>
        <w:pStyle w:val="26"/>
        <w:numPr>
          <w:ilvl w:val="0"/>
          <w:numId w:val="2"/>
        </w:numPr>
        <w:spacing w:before="120" w:beforeLines="50" w:after="120" w:afterLines="50" w:line="360" w:lineRule="auto"/>
        <w:ind w:left="0"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两用物项、技术出口管制</w:t>
      </w:r>
    </w:p>
    <w:p w14:paraId="0091EBBE">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根据《出口管制法》，两用物项是指既有民事用途，又有军事用途或者有助于提升军事潜力，特别是可以用于设计、开发、生产或者使用大规模杀伤性武器及其运载工</w:t>
      </w:r>
      <w:r>
        <w:rPr>
          <w:rFonts w:ascii="Times New Roman" w:hAnsi="Times New Roman"/>
          <w:sz w:val="28"/>
          <w:szCs w:val="28"/>
        </w:rPr>
        <w:t>具的货物、技术和服务。企业</w:t>
      </w:r>
      <w:r>
        <w:rPr>
          <w:rFonts w:hint="eastAsia" w:ascii="Times New Roman" w:hAnsi="Times New Roman"/>
          <w:sz w:val="28"/>
          <w:szCs w:val="28"/>
        </w:rPr>
        <w:t>可依据商务部颁布的《两用物项出口管制清单》，对</w:t>
      </w:r>
      <w:r>
        <w:rPr>
          <w:rFonts w:ascii="Times New Roman" w:hAnsi="Times New Roman"/>
          <w:sz w:val="28"/>
          <w:szCs w:val="28"/>
        </w:rPr>
        <w:t>拟出口产品是否属于两用物项</w:t>
      </w:r>
      <w:r>
        <w:rPr>
          <w:rFonts w:hint="eastAsia" w:ascii="Times New Roman" w:hAnsi="Times New Roman"/>
          <w:sz w:val="28"/>
          <w:szCs w:val="28"/>
        </w:rPr>
        <w:t>进行自查，确认所出口医疗器械是否收到出口管制</w:t>
      </w:r>
      <w:r>
        <w:rPr>
          <w:rFonts w:ascii="Times New Roman" w:hAnsi="Times New Roman"/>
          <w:sz w:val="28"/>
          <w:szCs w:val="28"/>
        </w:rPr>
        <w:t>。</w:t>
      </w:r>
      <w:r>
        <w:rPr>
          <w:rFonts w:hint="eastAsia" w:ascii="Times New Roman" w:hAnsi="Times New Roman"/>
          <w:sz w:val="28"/>
          <w:szCs w:val="28"/>
        </w:rPr>
        <w:t>不排除</w:t>
      </w:r>
      <w:r>
        <w:rPr>
          <w:rFonts w:ascii="Times New Roman" w:hAnsi="Times New Roman"/>
          <w:sz w:val="28"/>
          <w:szCs w:val="28"/>
        </w:rPr>
        <w:t>医疗器械</w:t>
      </w:r>
      <w:r>
        <w:rPr>
          <w:rFonts w:hint="eastAsia" w:ascii="Times New Roman" w:hAnsi="Times New Roman"/>
          <w:sz w:val="28"/>
          <w:szCs w:val="28"/>
        </w:rPr>
        <w:t>产品中</w:t>
      </w:r>
      <w:r>
        <w:rPr>
          <w:rFonts w:ascii="Times New Roman" w:hAnsi="Times New Roman"/>
          <w:sz w:val="28"/>
          <w:szCs w:val="28"/>
        </w:rPr>
        <w:t>部分含有特定材料或技术参数的高端设备落入《</w:t>
      </w:r>
      <w:r>
        <w:rPr>
          <w:rFonts w:hint="eastAsia" w:ascii="Times New Roman" w:hAnsi="Times New Roman"/>
          <w:sz w:val="28"/>
          <w:szCs w:val="28"/>
        </w:rPr>
        <w:t>两用物项出口管制清单</w:t>
      </w:r>
      <w:r>
        <w:rPr>
          <w:rFonts w:ascii="Times New Roman" w:hAnsi="Times New Roman"/>
          <w:sz w:val="28"/>
          <w:szCs w:val="28"/>
        </w:rPr>
        <w:t>》</w:t>
      </w:r>
      <w:r>
        <w:rPr>
          <w:rFonts w:hint="eastAsia" w:ascii="Times New Roman" w:hAnsi="Times New Roman"/>
          <w:sz w:val="28"/>
          <w:szCs w:val="28"/>
        </w:rPr>
        <w:t>的管制范围。企业应对照</w:t>
      </w:r>
      <w:r>
        <w:rPr>
          <w:rFonts w:ascii="Times New Roman" w:hAnsi="Times New Roman"/>
          <w:sz w:val="28"/>
          <w:szCs w:val="28"/>
        </w:rPr>
        <w:t>官方发布的</w:t>
      </w:r>
      <w:r>
        <w:rPr>
          <w:rFonts w:hint="eastAsia" w:ascii="Times New Roman" w:hAnsi="Times New Roman"/>
          <w:sz w:val="28"/>
          <w:szCs w:val="28"/>
        </w:rPr>
        <w:t>最新</w:t>
      </w:r>
      <w:r>
        <w:rPr>
          <w:rFonts w:ascii="Times New Roman" w:hAnsi="Times New Roman"/>
          <w:sz w:val="28"/>
          <w:szCs w:val="28"/>
        </w:rPr>
        <w:t>《两用物项出口管制清单》</w:t>
      </w:r>
      <w:r>
        <w:rPr>
          <w:rFonts w:hint="eastAsia" w:ascii="Times New Roman" w:hAnsi="Times New Roman"/>
          <w:sz w:val="28"/>
          <w:szCs w:val="28"/>
        </w:rPr>
        <w:t>及</w:t>
      </w:r>
      <w:r>
        <w:rPr>
          <w:rFonts w:ascii="Times New Roman" w:hAnsi="Times New Roman"/>
          <w:sz w:val="28"/>
          <w:szCs w:val="28"/>
        </w:rPr>
        <w:t>《两用物项和技术进出口许可证管理目录》</w:t>
      </w:r>
      <w:r>
        <w:rPr>
          <w:rFonts w:hint="eastAsia" w:ascii="Times New Roman" w:hAnsi="Times New Roman"/>
          <w:sz w:val="28"/>
          <w:szCs w:val="28"/>
        </w:rPr>
        <w:t>，</w:t>
      </w:r>
      <w:r>
        <w:rPr>
          <w:rFonts w:ascii="Times New Roman" w:hAnsi="Times New Roman"/>
          <w:sz w:val="28"/>
          <w:szCs w:val="28"/>
        </w:rPr>
        <w:t>根据产品的功能和应用领域，核对产品的技术参数是否符合清单中的具体描述和阈值</w:t>
      </w:r>
      <w:r>
        <w:rPr>
          <w:rFonts w:hint="eastAsia" w:ascii="Times New Roman" w:hAnsi="Times New Roman"/>
          <w:sz w:val="28"/>
          <w:szCs w:val="28"/>
        </w:rPr>
        <w:t>。需提示企业的是，</w:t>
      </w:r>
      <w:r>
        <w:rPr>
          <w:rFonts w:ascii="Times New Roman" w:hAnsi="Times New Roman"/>
          <w:sz w:val="28"/>
          <w:szCs w:val="28"/>
        </w:rPr>
        <w:t>不能仅凭HS编码未列入就认为</w:t>
      </w:r>
      <w:r>
        <w:rPr>
          <w:rFonts w:hint="eastAsia" w:ascii="Times New Roman" w:hAnsi="Times New Roman"/>
          <w:sz w:val="28"/>
          <w:szCs w:val="28"/>
        </w:rPr>
        <w:t>产品</w:t>
      </w:r>
      <w:r>
        <w:rPr>
          <w:rFonts w:ascii="Times New Roman" w:hAnsi="Times New Roman"/>
          <w:sz w:val="28"/>
          <w:szCs w:val="28"/>
        </w:rPr>
        <w:t>不受管制，必须仔细核对物项描述。</w:t>
      </w:r>
    </w:p>
    <w:p w14:paraId="1BE6FC83">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此外，根据</w:t>
      </w:r>
      <w:r>
        <w:rPr>
          <w:rFonts w:ascii="Times New Roman" w:hAnsi="Times New Roman"/>
          <w:sz w:val="28"/>
          <w:szCs w:val="28"/>
        </w:rPr>
        <w:t>《出口管制法》第十二条，如出口商知道或应当知道，或被告知拟出口物项存在危害国家安全和利益、被用于设计开发生产或者使用大规模杀伤性武器及其运载工具、或被用于恐怖主义目的的风险，则应申请出口许可。</w:t>
      </w:r>
      <w:r>
        <w:rPr>
          <w:rFonts w:hint="eastAsia" w:ascii="Times New Roman" w:hAnsi="Times New Roman"/>
          <w:sz w:val="28"/>
          <w:szCs w:val="28"/>
        </w:rPr>
        <w:t>此为两用物项“</w:t>
      </w:r>
      <w:r>
        <w:rPr>
          <w:rFonts w:ascii="Times New Roman" w:hAnsi="Times New Roman"/>
          <w:sz w:val="28"/>
          <w:szCs w:val="28"/>
        </w:rPr>
        <w:t>全面管制</w:t>
      </w:r>
      <w:r>
        <w:rPr>
          <w:rFonts w:hint="eastAsia" w:ascii="Times New Roman" w:hAnsi="Times New Roman"/>
          <w:sz w:val="28"/>
          <w:szCs w:val="28"/>
        </w:rPr>
        <w:t>”</w:t>
      </w:r>
      <w:r>
        <w:rPr>
          <w:rFonts w:ascii="Times New Roman" w:hAnsi="Times New Roman"/>
          <w:sz w:val="28"/>
          <w:szCs w:val="28"/>
        </w:rPr>
        <w:t>条款，即使产品参数没达标，但如果最终用户是军事单位或用途涉及军事领域，仍可能被纳入管制范围。</w:t>
      </w:r>
    </w:p>
    <w:p w14:paraId="60940C01">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如果企业经过自查后仍无法确定拟出口产品是否属于两用物项</w:t>
      </w:r>
      <w:r>
        <w:rPr>
          <w:rFonts w:hint="eastAsia" w:ascii="Times New Roman" w:hAnsi="Times New Roman"/>
          <w:sz w:val="28"/>
          <w:szCs w:val="28"/>
        </w:rPr>
        <w:t>，</w:t>
      </w:r>
      <w:r>
        <w:rPr>
          <w:rFonts w:ascii="Times New Roman" w:hAnsi="Times New Roman"/>
          <w:sz w:val="28"/>
          <w:szCs w:val="28"/>
        </w:rPr>
        <w:t>企业可以通过商务部业务系统统一平台</w:t>
      </w:r>
      <w:r>
        <w:rPr>
          <w:rFonts w:hint="eastAsia" w:ascii="Times New Roman" w:hAnsi="Times New Roman"/>
          <w:sz w:val="28"/>
          <w:szCs w:val="28"/>
        </w:rPr>
        <w:t>（网址https://ecomp.mofcom.gov.cn/loginCorp.html）</w:t>
      </w:r>
      <w:r>
        <w:rPr>
          <w:rFonts w:ascii="Times New Roman" w:hAnsi="Times New Roman"/>
          <w:sz w:val="28"/>
          <w:szCs w:val="28"/>
        </w:rPr>
        <w:t>申请办理两用物项出口业务咨询</w:t>
      </w:r>
      <w:r>
        <w:rPr>
          <w:rFonts w:hint="eastAsia" w:ascii="Times New Roman" w:hAnsi="Times New Roman"/>
          <w:sz w:val="28"/>
          <w:szCs w:val="28"/>
        </w:rPr>
        <w:t>，该业务咨询模块需企业注册账号登陆平台后使用。</w:t>
      </w:r>
      <w:r>
        <w:rPr>
          <w:rFonts w:ascii="Times New Roman" w:hAnsi="Times New Roman"/>
          <w:sz w:val="28"/>
          <w:szCs w:val="28"/>
        </w:rPr>
        <w:t>咨询时应当同时提供拟出口物项名称、性能指标、主要用途以及无法确定是否属于两用物项的原因，业务咨询答复函自答复之日起6个月内有效。物项确定属于管制范围的，出口经营者应当向国务院商务主管部门申请许可</w:t>
      </w:r>
      <w:r>
        <w:rPr>
          <w:rFonts w:hint="eastAsia" w:ascii="Times New Roman" w:hAnsi="Times New Roman"/>
          <w:sz w:val="28"/>
          <w:szCs w:val="28"/>
        </w:rPr>
        <w:t>。</w:t>
      </w:r>
    </w:p>
    <w:p w14:paraId="489678B9">
      <w:pPr>
        <w:pStyle w:val="26"/>
        <w:numPr>
          <w:ilvl w:val="2"/>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目的国上市经营合规与贸易救济</w:t>
      </w:r>
    </w:p>
    <w:p w14:paraId="1DFB500F">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医疗器械</w:t>
      </w:r>
      <w:r>
        <w:rPr>
          <w:rFonts w:hint="eastAsia" w:ascii="Times New Roman" w:hAnsi="Times New Roman"/>
          <w:b/>
          <w:bCs/>
          <w:sz w:val="28"/>
          <w:szCs w:val="28"/>
          <w:lang w:val="en-GB"/>
        </w:rPr>
        <w:t>准入制度</w:t>
      </w:r>
    </w:p>
    <w:p w14:paraId="2BA4723F">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医疗器械</w:t>
      </w:r>
      <w:r>
        <w:rPr>
          <w:rFonts w:hint="eastAsia" w:ascii="Times New Roman" w:hAnsi="Times New Roman"/>
          <w:sz w:val="28"/>
          <w:szCs w:val="28"/>
        </w:rPr>
        <w:t>行业在全球主要市场均呈现</w:t>
      </w:r>
      <w:r>
        <w:rPr>
          <w:rFonts w:ascii="Times New Roman" w:hAnsi="Times New Roman"/>
          <w:sz w:val="28"/>
          <w:szCs w:val="28"/>
        </w:rPr>
        <w:t>强监管</w:t>
      </w:r>
      <w:r>
        <w:rPr>
          <w:rFonts w:hint="eastAsia" w:ascii="Times New Roman" w:hAnsi="Times New Roman"/>
          <w:sz w:val="28"/>
          <w:szCs w:val="28"/>
        </w:rPr>
        <w:t>特征</w:t>
      </w:r>
      <w:r>
        <w:rPr>
          <w:rFonts w:ascii="Times New Roman" w:hAnsi="Times New Roman"/>
          <w:sz w:val="28"/>
          <w:szCs w:val="28"/>
        </w:rPr>
        <w:t>。境外制造商</w:t>
      </w:r>
      <w:r>
        <w:rPr>
          <w:rFonts w:hint="eastAsia" w:ascii="Times New Roman" w:hAnsi="Times New Roman"/>
          <w:sz w:val="28"/>
          <w:szCs w:val="28"/>
        </w:rPr>
        <w:t>将</w:t>
      </w:r>
      <w:r>
        <w:rPr>
          <w:rFonts w:ascii="Times New Roman" w:hAnsi="Times New Roman"/>
          <w:sz w:val="28"/>
          <w:szCs w:val="28"/>
        </w:rPr>
        <w:t>产品投放至目标市场</w:t>
      </w:r>
      <w:r>
        <w:rPr>
          <w:rFonts w:hint="eastAsia" w:ascii="Times New Roman" w:hAnsi="Times New Roman"/>
          <w:sz w:val="28"/>
          <w:szCs w:val="28"/>
        </w:rPr>
        <w:t>前，基本均需</w:t>
      </w:r>
      <w:r>
        <w:rPr>
          <w:rFonts w:ascii="Times New Roman" w:hAnsi="Times New Roman"/>
          <w:sz w:val="28"/>
          <w:szCs w:val="28"/>
        </w:rPr>
        <w:t>完成当地注册审批或取得等效许可。</w:t>
      </w:r>
      <w:r>
        <w:rPr>
          <w:rFonts w:hint="eastAsia" w:ascii="Times New Roman" w:hAnsi="Times New Roman"/>
          <w:sz w:val="28"/>
          <w:szCs w:val="28"/>
        </w:rPr>
        <w:t>各国</w:t>
      </w:r>
      <w:r>
        <w:rPr>
          <w:rFonts w:ascii="Times New Roman" w:hAnsi="Times New Roman"/>
          <w:sz w:val="28"/>
          <w:szCs w:val="28"/>
        </w:rPr>
        <w:t>管机构普遍按</w:t>
      </w:r>
      <w:r>
        <w:rPr>
          <w:rFonts w:hint="eastAsia" w:ascii="Times New Roman" w:hAnsi="Times New Roman"/>
          <w:sz w:val="28"/>
          <w:szCs w:val="28"/>
        </w:rPr>
        <w:t>风险程度对医疗</w:t>
      </w:r>
      <w:r>
        <w:rPr>
          <w:rFonts w:ascii="Times New Roman" w:hAnsi="Times New Roman"/>
          <w:sz w:val="28"/>
          <w:szCs w:val="28"/>
        </w:rPr>
        <w:t>器械</w:t>
      </w:r>
      <w:r>
        <w:rPr>
          <w:rFonts w:hint="eastAsia" w:ascii="Times New Roman" w:hAnsi="Times New Roman"/>
          <w:sz w:val="28"/>
          <w:szCs w:val="28"/>
        </w:rPr>
        <w:t>进行分级管理</w:t>
      </w:r>
      <w:r>
        <w:rPr>
          <w:rFonts w:ascii="Times New Roman" w:hAnsi="Times New Roman"/>
          <w:sz w:val="28"/>
          <w:szCs w:val="28"/>
        </w:rPr>
        <w:t>，</w:t>
      </w:r>
      <w:r>
        <w:rPr>
          <w:rFonts w:hint="eastAsia" w:ascii="Times New Roman" w:hAnsi="Times New Roman"/>
          <w:sz w:val="28"/>
          <w:szCs w:val="28"/>
        </w:rPr>
        <w:t>境外制造商需根据产品管理类别提交相应注册技术档案、完成审评审批。部分国家对于低风险的医疗器械采取制造商自我声明类型的形式审查管理。医疗器械产品准入证明在不同目的国基本无法互认</w:t>
      </w:r>
      <w:r>
        <w:rPr>
          <w:rFonts w:ascii="Times New Roman" w:hAnsi="Times New Roman"/>
          <w:sz w:val="28"/>
          <w:szCs w:val="28"/>
        </w:rPr>
        <w:t>，企业须按</w:t>
      </w:r>
      <w:r>
        <w:rPr>
          <w:rFonts w:hint="eastAsia" w:ascii="Times New Roman" w:hAnsi="Times New Roman"/>
          <w:sz w:val="28"/>
          <w:szCs w:val="28"/>
        </w:rPr>
        <w:t>目的国具体要求</w:t>
      </w:r>
      <w:r>
        <w:rPr>
          <w:rFonts w:ascii="Times New Roman" w:hAnsi="Times New Roman"/>
          <w:sz w:val="28"/>
          <w:szCs w:val="28"/>
        </w:rPr>
        <w:t>分别</w:t>
      </w:r>
      <w:r>
        <w:rPr>
          <w:rFonts w:hint="eastAsia" w:ascii="Times New Roman" w:hAnsi="Times New Roman"/>
          <w:sz w:val="28"/>
          <w:szCs w:val="28"/>
        </w:rPr>
        <w:t>完成产品上市</w:t>
      </w:r>
      <w:r>
        <w:rPr>
          <w:rFonts w:ascii="Times New Roman" w:hAnsi="Times New Roman"/>
          <w:sz w:val="28"/>
          <w:szCs w:val="28"/>
        </w:rPr>
        <w:t>。</w:t>
      </w:r>
    </w:p>
    <w:p w14:paraId="4FA23E74">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进口清关与必备文件</w:t>
      </w:r>
    </w:p>
    <w:p w14:paraId="510A743E">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在产品准入之外，清关是另一条独立的合规线。</w:t>
      </w:r>
      <w:r>
        <w:rPr>
          <w:rFonts w:hint="eastAsia" w:ascii="Times New Roman" w:hAnsi="Times New Roman"/>
          <w:sz w:val="28"/>
          <w:szCs w:val="28"/>
        </w:rPr>
        <w:t>清关必备</w:t>
      </w:r>
      <w:r>
        <w:rPr>
          <w:rFonts w:ascii="Times New Roman" w:hAnsi="Times New Roman"/>
          <w:sz w:val="28"/>
          <w:szCs w:val="28"/>
        </w:rPr>
        <w:t>文件</w:t>
      </w:r>
      <w:r>
        <w:rPr>
          <w:rFonts w:hint="eastAsia" w:ascii="Times New Roman" w:hAnsi="Times New Roman"/>
          <w:sz w:val="28"/>
          <w:szCs w:val="28"/>
        </w:rPr>
        <w:t>基本</w:t>
      </w:r>
      <w:r>
        <w:rPr>
          <w:rFonts w:ascii="Times New Roman" w:hAnsi="Times New Roman"/>
          <w:sz w:val="28"/>
          <w:szCs w:val="28"/>
        </w:rPr>
        <w:t>由商业单证</w:t>
      </w:r>
      <w:r>
        <w:rPr>
          <w:rFonts w:hint="eastAsia" w:ascii="Times New Roman" w:hAnsi="Times New Roman"/>
          <w:sz w:val="28"/>
          <w:szCs w:val="28"/>
        </w:rPr>
        <w:t>和</w:t>
      </w:r>
      <w:r>
        <w:rPr>
          <w:rFonts w:ascii="Times New Roman" w:hAnsi="Times New Roman"/>
          <w:sz w:val="28"/>
          <w:szCs w:val="28"/>
        </w:rPr>
        <w:t>产品合规单证</w:t>
      </w:r>
      <w:r>
        <w:rPr>
          <w:rFonts w:hint="eastAsia" w:ascii="Times New Roman" w:hAnsi="Times New Roman"/>
          <w:sz w:val="28"/>
          <w:szCs w:val="28"/>
        </w:rPr>
        <w:t>两部分组成，但不同国家对于产品合规单证的具体要求存在差异。商业单证一般包括</w:t>
      </w:r>
      <w:r>
        <w:rPr>
          <w:rFonts w:ascii="Times New Roman" w:hAnsi="Times New Roman"/>
          <w:sz w:val="28"/>
          <w:szCs w:val="28"/>
        </w:rPr>
        <w:t>商业发票、装箱单、提单/空运单、原产地</w:t>
      </w:r>
      <w:r>
        <w:rPr>
          <w:rFonts w:hint="eastAsia" w:ascii="Times New Roman" w:hAnsi="Times New Roman"/>
          <w:sz w:val="28"/>
          <w:szCs w:val="28"/>
        </w:rPr>
        <w:t>证书等文件。</w:t>
      </w:r>
    </w:p>
    <w:p w14:paraId="6AE742FE">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各国在具体文件要求和通关前提上的差异反映了各自监管体系的成熟度和特点。美国对医疗器械清关</w:t>
      </w:r>
      <w:r>
        <w:rPr>
          <w:rFonts w:hint="eastAsia" w:ascii="Times New Roman" w:hAnsi="Times New Roman"/>
          <w:sz w:val="28"/>
          <w:szCs w:val="28"/>
        </w:rPr>
        <w:t>要求</w:t>
      </w:r>
      <w:r>
        <w:rPr>
          <w:rFonts w:ascii="Times New Roman" w:hAnsi="Times New Roman"/>
          <w:sz w:val="28"/>
          <w:szCs w:val="28"/>
        </w:rPr>
        <w:t>厂家事先完成企业注册（Establishment Registration）与器械列名（Device Listing）；进口商须持美国进口商编号、海关保证金、FDA 2877表向美国海关与边境保护局（CBP）申报</w:t>
      </w:r>
      <w:r>
        <w:rPr>
          <w:rFonts w:hint="eastAsia" w:ascii="Times New Roman" w:hAnsi="Times New Roman"/>
          <w:sz w:val="28"/>
          <w:szCs w:val="28"/>
        </w:rPr>
        <w:t>。</w:t>
      </w:r>
      <w:r>
        <w:rPr>
          <w:rFonts w:ascii="Times New Roman" w:hAnsi="Times New Roman"/>
          <w:sz w:val="28"/>
          <w:szCs w:val="28"/>
        </w:rPr>
        <w:t>美国海关在口岸不查验FDA批准文件，而是事后执法</w:t>
      </w:r>
      <w:r>
        <w:rPr>
          <w:rFonts w:hint="eastAsia" w:ascii="Times New Roman" w:hAnsi="Times New Roman"/>
          <w:sz w:val="28"/>
          <w:szCs w:val="28"/>
        </w:rPr>
        <w:t>。</w:t>
      </w:r>
      <w:r>
        <w:rPr>
          <w:rFonts w:ascii="Times New Roman" w:hAnsi="Times New Roman"/>
          <w:sz w:val="28"/>
          <w:szCs w:val="28"/>
        </w:rPr>
        <w:t>欧盟的清关核心文件是CE</w:t>
      </w:r>
      <w:r>
        <w:rPr>
          <w:rFonts w:hint="eastAsia" w:ascii="Times New Roman" w:hAnsi="Times New Roman"/>
          <w:sz w:val="28"/>
          <w:szCs w:val="28"/>
        </w:rPr>
        <w:t>标志、</w:t>
      </w:r>
      <w:r>
        <w:rPr>
          <w:rFonts w:ascii="Times New Roman" w:hAnsi="Times New Roman"/>
          <w:sz w:val="28"/>
          <w:szCs w:val="28"/>
        </w:rPr>
        <w:t>符合性声明（DoC）</w:t>
      </w:r>
      <w:r>
        <w:rPr>
          <w:rFonts w:hint="eastAsia" w:ascii="Times New Roman" w:hAnsi="Times New Roman"/>
          <w:sz w:val="28"/>
          <w:szCs w:val="28"/>
        </w:rPr>
        <w:t>、NB证书，由欧盟进口商具体承担相关文件的合规义务</w:t>
      </w:r>
      <w:r>
        <w:rPr>
          <w:rFonts w:ascii="Times New Roman" w:hAnsi="Times New Roman"/>
          <w:sz w:val="28"/>
          <w:szCs w:val="28"/>
        </w:rPr>
        <w:t>。英国脱欧后海关独立，须持大不列颠经营者注册与识别号</w:t>
      </w:r>
      <w:r>
        <w:rPr>
          <w:rFonts w:hint="eastAsia" w:ascii="Times New Roman" w:hAnsi="Times New Roman"/>
          <w:sz w:val="28"/>
          <w:szCs w:val="28"/>
        </w:rPr>
        <w:t>（</w:t>
      </w:r>
      <w:r>
        <w:rPr>
          <w:rFonts w:ascii="Times New Roman" w:hAnsi="Times New Roman"/>
          <w:sz w:val="28"/>
          <w:szCs w:val="28"/>
        </w:rPr>
        <w:t>EORI，Economic Operators Registration and Identification number）与UKRP信息。</w:t>
      </w:r>
    </w:p>
    <w:p w14:paraId="45EBBC4D">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东盟、中东、中亚市场</w:t>
      </w:r>
      <w:r>
        <w:rPr>
          <w:rFonts w:hint="eastAsia" w:ascii="Times New Roman" w:hAnsi="Times New Roman"/>
          <w:sz w:val="28"/>
          <w:szCs w:val="28"/>
        </w:rPr>
        <w:t>在清关环节</w:t>
      </w:r>
      <w:r>
        <w:rPr>
          <w:rFonts w:ascii="Times New Roman" w:hAnsi="Times New Roman"/>
          <w:sz w:val="28"/>
          <w:szCs w:val="28"/>
        </w:rPr>
        <w:t>普遍要求</w:t>
      </w:r>
      <w:r>
        <w:rPr>
          <w:rFonts w:hint="eastAsia" w:ascii="Times New Roman" w:hAnsi="Times New Roman"/>
          <w:sz w:val="28"/>
          <w:szCs w:val="28"/>
        </w:rPr>
        <w:t>提供</w:t>
      </w:r>
      <w:r>
        <w:rPr>
          <w:rFonts w:ascii="Times New Roman" w:hAnsi="Times New Roman"/>
          <w:sz w:val="28"/>
          <w:szCs w:val="28"/>
        </w:rPr>
        <w:t>经使馆或领事认证</w:t>
      </w:r>
      <w:r>
        <w:rPr>
          <w:rFonts w:hint="eastAsia" w:ascii="Times New Roman" w:hAnsi="Times New Roman"/>
          <w:sz w:val="28"/>
          <w:szCs w:val="28"/>
        </w:rPr>
        <w:t>的自由销售证明（</w:t>
      </w:r>
      <w:r>
        <w:rPr>
          <w:rFonts w:ascii="Times New Roman" w:hAnsi="Times New Roman"/>
          <w:sz w:val="28"/>
          <w:szCs w:val="28"/>
        </w:rPr>
        <w:t>Free Sale Certificate</w:t>
      </w:r>
      <w:r>
        <w:rPr>
          <w:rFonts w:hint="eastAsia" w:ascii="Times New Roman" w:hAnsi="Times New Roman"/>
          <w:sz w:val="28"/>
          <w:szCs w:val="28"/>
        </w:rPr>
        <w:t>，CFS）</w:t>
      </w:r>
      <w:r>
        <w:rPr>
          <w:rFonts w:ascii="Times New Roman" w:hAnsi="Times New Roman"/>
          <w:sz w:val="28"/>
          <w:szCs w:val="28"/>
        </w:rPr>
        <w:t>、</w:t>
      </w:r>
      <w:r>
        <w:rPr>
          <w:rFonts w:hint="eastAsia" w:ascii="Times New Roman" w:hAnsi="Times New Roman"/>
          <w:sz w:val="28"/>
          <w:szCs w:val="28"/>
        </w:rPr>
        <w:t>产品配备</w:t>
      </w:r>
      <w:r>
        <w:rPr>
          <w:rFonts w:ascii="Times New Roman" w:hAnsi="Times New Roman"/>
          <w:sz w:val="28"/>
          <w:szCs w:val="28"/>
        </w:rPr>
        <w:t>本地语言标签、进口商须持本地经营或进口资质。</w:t>
      </w:r>
    </w:p>
    <w:p w14:paraId="012156FB">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授权代表 / 当地责任人要求</w:t>
      </w:r>
    </w:p>
    <w:p w14:paraId="6C60DEC7">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全球主要</w:t>
      </w:r>
      <w:r>
        <w:rPr>
          <w:rFonts w:hint="eastAsia" w:ascii="Times New Roman" w:hAnsi="Times New Roman"/>
          <w:sz w:val="28"/>
          <w:szCs w:val="28"/>
        </w:rPr>
        <w:t>医疗器械</w:t>
      </w:r>
      <w:r>
        <w:rPr>
          <w:rFonts w:ascii="Times New Roman" w:hAnsi="Times New Roman"/>
          <w:sz w:val="28"/>
          <w:szCs w:val="28"/>
        </w:rPr>
        <w:t>市场</w:t>
      </w:r>
      <w:r>
        <w:rPr>
          <w:rFonts w:hint="eastAsia" w:ascii="Times New Roman" w:hAnsi="Times New Roman"/>
          <w:sz w:val="28"/>
          <w:szCs w:val="28"/>
        </w:rPr>
        <w:t>基本均</w:t>
      </w:r>
      <w:r>
        <w:rPr>
          <w:rFonts w:ascii="Times New Roman" w:hAnsi="Times New Roman"/>
          <w:sz w:val="28"/>
          <w:szCs w:val="28"/>
        </w:rPr>
        <w:t>要求境外</w:t>
      </w:r>
      <w:r>
        <w:rPr>
          <w:rFonts w:hint="eastAsia" w:ascii="Times New Roman" w:hAnsi="Times New Roman"/>
          <w:sz w:val="28"/>
          <w:szCs w:val="28"/>
        </w:rPr>
        <w:t>制造商</w:t>
      </w:r>
      <w:r>
        <w:rPr>
          <w:rFonts w:ascii="Times New Roman" w:hAnsi="Times New Roman"/>
          <w:sz w:val="28"/>
          <w:szCs w:val="28"/>
        </w:rPr>
        <w:t>在境内指定法律实体，这一制度设计</w:t>
      </w:r>
      <w:r>
        <w:rPr>
          <w:rFonts w:hint="eastAsia" w:ascii="Times New Roman" w:hAnsi="Times New Roman"/>
          <w:sz w:val="28"/>
          <w:szCs w:val="28"/>
        </w:rPr>
        <w:t>类似于我国的境外注备人指定的境内代理人制度，</w:t>
      </w:r>
      <w:r>
        <w:rPr>
          <w:rFonts w:ascii="Times New Roman" w:hAnsi="Times New Roman"/>
          <w:sz w:val="28"/>
          <w:szCs w:val="28"/>
        </w:rPr>
        <w:t>但各市场</w:t>
      </w:r>
      <w:r>
        <w:rPr>
          <w:rFonts w:hint="eastAsia" w:ascii="Times New Roman" w:hAnsi="Times New Roman"/>
          <w:sz w:val="28"/>
          <w:szCs w:val="28"/>
        </w:rPr>
        <w:t>对授权</w:t>
      </w:r>
      <w:r>
        <w:rPr>
          <w:rFonts w:ascii="Times New Roman" w:hAnsi="Times New Roman"/>
          <w:sz w:val="28"/>
          <w:szCs w:val="28"/>
        </w:rPr>
        <w:t>代表的</w:t>
      </w:r>
      <w:r>
        <w:rPr>
          <w:rFonts w:hint="eastAsia" w:ascii="Times New Roman" w:hAnsi="Times New Roman"/>
          <w:sz w:val="28"/>
          <w:szCs w:val="28"/>
        </w:rPr>
        <w:t>法律地位和</w:t>
      </w:r>
      <w:r>
        <w:rPr>
          <w:rFonts w:ascii="Times New Roman" w:hAnsi="Times New Roman"/>
          <w:sz w:val="28"/>
          <w:szCs w:val="28"/>
        </w:rPr>
        <w:t>责任范围</w:t>
      </w:r>
      <w:r>
        <w:rPr>
          <w:rFonts w:hint="eastAsia" w:ascii="Times New Roman" w:hAnsi="Times New Roman"/>
          <w:sz w:val="28"/>
          <w:szCs w:val="28"/>
        </w:rPr>
        <w:t>要求存在差异</w:t>
      </w:r>
      <w:r>
        <w:rPr>
          <w:rFonts w:ascii="Times New Roman" w:hAnsi="Times New Roman"/>
          <w:sz w:val="28"/>
          <w:szCs w:val="28"/>
        </w:rPr>
        <w:t>。</w:t>
      </w:r>
    </w:p>
    <w:p w14:paraId="6C80A742">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美国实行的是最为精简的代表模式</w:t>
      </w:r>
      <w:r>
        <w:rPr>
          <w:rFonts w:hint="eastAsia" w:ascii="Times New Roman" w:hAnsi="Times New Roman"/>
          <w:sz w:val="28"/>
          <w:szCs w:val="28"/>
        </w:rPr>
        <w:t>，</w:t>
      </w:r>
      <w:r>
        <w:rPr>
          <w:rFonts w:ascii="Times New Roman" w:hAnsi="Times New Roman"/>
          <w:sz w:val="28"/>
          <w:szCs w:val="28"/>
        </w:rPr>
        <w:t>境外制造商必须指定一名美国代理人（U.S.</w:t>
      </w:r>
      <w:r>
        <w:rPr>
          <w:rFonts w:hint="eastAsia" w:ascii="Times New Roman" w:hAnsi="Times New Roman"/>
          <w:sz w:val="28"/>
          <w:szCs w:val="28"/>
        </w:rPr>
        <w:t xml:space="preserve"> </w:t>
      </w:r>
      <w:r>
        <w:rPr>
          <w:rFonts w:ascii="Times New Roman" w:hAnsi="Times New Roman"/>
          <w:sz w:val="28"/>
          <w:szCs w:val="28"/>
        </w:rPr>
        <w:t>Agent），仅作为</w:t>
      </w:r>
      <w:r>
        <w:rPr>
          <w:rFonts w:hint="eastAsia" w:ascii="Times New Roman" w:hAnsi="Times New Roman"/>
          <w:sz w:val="28"/>
          <w:szCs w:val="28"/>
        </w:rPr>
        <w:t>与FDA</w:t>
      </w:r>
      <w:r>
        <w:rPr>
          <w:rFonts w:ascii="Times New Roman" w:hAnsi="Times New Roman"/>
          <w:sz w:val="28"/>
          <w:szCs w:val="28"/>
        </w:rPr>
        <w:t>联络和程序性支持角色存在</w:t>
      </w:r>
      <w:r>
        <w:rPr>
          <w:rFonts w:hint="eastAsia" w:ascii="Times New Roman" w:hAnsi="Times New Roman"/>
          <w:sz w:val="28"/>
          <w:szCs w:val="28"/>
        </w:rPr>
        <w:t>，</w:t>
      </w:r>
      <w:r>
        <w:rPr>
          <w:rFonts w:ascii="Times New Roman" w:hAnsi="Times New Roman"/>
          <w:sz w:val="28"/>
          <w:szCs w:val="28"/>
        </w:rPr>
        <w:t>不</w:t>
      </w:r>
      <w:r>
        <w:rPr>
          <w:rFonts w:hint="eastAsia" w:ascii="Times New Roman" w:hAnsi="Times New Roman"/>
          <w:sz w:val="28"/>
          <w:szCs w:val="28"/>
        </w:rPr>
        <w:t>与境外制造商</w:t>
      </w:r>
      <w:r>
        <w:rPr>
          <w:rFonts w:ascii="Times New Roman" w:hAnsi="Times New Roman"/>
          <w:sz w:val="28"/>
          <w:szCs w:val="28"/>
        </w:rPr>
        <w:t>承担连带责任。欧盟</w:t>
      </w:r>
      <w:r>
        <w:rPr>
          <w:rFonts w:hint="eastAsia" w:ascii="Times New Roman" w:hAnsi="Times New Roman"/>
          <w:sz w:val="28"/>
          <w:szCs w:val="28"/>
        </w:rPr>
        <w:t>授权代表的责任则最重，</w:t>
      </w:r>
      <w:r>
        <w:rPr>
          <w:rFonts w:ascii="Times New Roman" w:hAnsi="Times New Roman"/>
          <w:sz w:val="28"/>
          <w:szCs w:val="28"/>
        </w:rPr>
        <w:t>非欧盟制造商必须</w:t>
      </w:r>
      <w:r>
        <w:rPr>
          <w:rFonts w:hint="eastAsia" w:ascii="Times New Roman" w:hAnsi="Times New Roman"/>
          <w:sz w:val="28"/>
          <w:szCs w:val="28"/>
        </w:rPr>
        <w:t>在欧洲经济区（</w:t>
      </w:r>
      <w:r>
        <w:rPr>
          <w:rFonts w:ascii="Times New Roman" w:hAnsi="Times New Roman"/>
          <w:sz w:val="28"/>
          <w:szCs w:val="28"/>
        </w:rPr>
        <w:t>European Economic Area</w:t>
      </w:r>
      <w:r>
        <w:rPr>
          <w:rFonts w:hint="eastAsia" w:ascii="Times New Roman" w:hAnsi="Times New Roman"/>
          <w:sz w:val="28"/>
          <w:szCs w:val="28"/>
        </w:rPr>
        <w:t>，</w:t>
      </w:r>
      <w:r>
        <w:rPr>
          <w:rFonts w:ascii="Times New Roman" w:hAnsi="Times New Roman"/>
          <w:sz w:val="28"/>
          <w:szCs w:val="28"/>
        </w:rPr>
        <w:t>以下简称EEA</w:t>
      </w:r>
      <w:r>
        <w:rPr>
          <w:rFonts w:hint="eastAsia" w:ascii="Times New Roman" w:hAnsi="Times New Roman"/>
          <w:sz w:val="28"/>
          <w:szCs w:val="28"/>
        </w:rPr>
        <w:t>）内</w:t>
      </w:r>
      <w:r>
        <w:rPr>
          <w:rFonts w:ascii="Times New Roman" w:hAnsi="Times New Roman"/>
          <w:sz w:val="28"/>
          <w:szCs w:val="28"/>
        </w:rPr>
        <w:t>指定一名欧盟授权代表（EU REP）</w:t>
      </w:r>
      <w:r>
        <w:rPr>
          <w:rFonts w:hint="eastAsia" w:ascii="Times New Roman" w:hAnsi="Times New Roman"/>
          <w:sz w:val="28"/>
          <w:szCs w:val="28"/>
        </w:rPr>
        <w:t>，负责</w:t>
      </w:r>
      <w:r>
        <w:rPr>
          <w:rFonts w:ascii="Times New Roman" w:hAnsi="Times New Roman"/>
          <w:sz w:val="28"/>
          <w:szCs w:val="28"/>
        </w:rPr>
        <w:t>保存技术文档、配合主管机关调查</w:t>
      </w:r>
      <w:r>
        <w:rPr>
          <w:rFonts w:hint="eastAsia" w:ascii="Times New Roman" w:hAnsi="Times New Roman"/>
          <w:sz w:val="28"/>
          <w:szCs w:val="28"/>
        </w:rPr>
        <w:t>等</w:t>
      </w:r>
      <w:r>
        <w:rPr>
          <w:rFonts w:ascii="Times New Roman" w:hAnsi="Times New Roman"/>
          <w:sz w:val="28"/>
          <w:szCs w:val="28"/>
        </w:rPr>
        <w:t>，与制造商</w:t>
      </w:r>
      <w:r>
        <w:rPr>
          <w:rFonts w:hint="eastAsia" w:ascii="Times New Roman" w:hAnsi="Times New Roman"/>
          <w:sz w:val="28"/>
          <w:szCs w:val="28"/>
        </w:rPr>
        <w:t>处同等</w:t>
      </w:r>
      <w:r>
        <w:rPr>
          <w:rFonts w:ascii="Times New Roman" w:hAnsi="Times New Roman"/>
          <w:sz w:val="28"/>
          <w:szCs w:val="28"/>
        </w:rPr>
        <w:t>法律地位</w:t>
      </w:r>
      <w:r>
        <w:rPr>
          <w:rFonts w:hint="eastAsia" w:ascii="Times New Roman" w:hAnsi="Times New Roman"/>
          <w:sz w:val="28"/>
          <w:szCs w:val="28"/>
        </w:rPr>
        <w:t>。其余地区的授权代表制度基本介于上述两种模式之间。</w:t>
      </w:r>
    </w:p>
    <w:p w14:paraId="1911C6E1">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持续经营合规</w:t>
      </w:r>
    </w:p>
    <w:p w14:paraId="3CFA4CDA">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持续经营合规涵盖上市后监管（Post-Market Surveillance</w:t>
      </w:r>
      <w:r>
        <w:rPr>
          <w:rFonts w:hint="eastAsia" w:ascii="Times New Roman" w:hAnsi="Times New Roman"/>
          <w:sz w:val="28"/>
          <w:szCs w:val="28"/>
        </w:rPr>
        <w:t>，</w:t>
      </w:r>
      <w:r>
        <w:rPr>
          <w:rFonts w:ascii="Times New Roman" w:hAnsi="Times New Roman"/>
          <w:sz w:val="28"/>
          <w:szCs w:val="28"/>
        </w:rPr>
        <w:t>PMS）、不良事件报告、广告合规、HCP互动与反腐败、数据保护以及税务与常设机构等多个维度，各法域在报告时限和具体要求上的差异需要企业建立系统化的合规管理体系来应对。在广告合规</w:t>
      </w:r>
      <w:r>
        <w:rPr>
          <w:rFonts w:hint="eastAsia" w:ascii="Times New Roman" w:hAnsi="Times New Roman"/>
          <w:sz w:val="28"/>
          <w:szCs w:val="28"/>
        </w:rPr>
        <w:t>方面</w:t>
      </w:r>
      <w:r>
        <w:rPr>
          <w:rFonts w:ascii="Times New Roman" w:hAnsi="Times New Roman"/>
          <w:sz w:val="28"/>
          <w:szCs w:val="28"/>
        </w:rPr>
        <w:t>，</w:t>
      </w:r>
      <w:r>
        <w:rPr>
          <w:rFonts w:hint="eastAsia" w:ascii="Times New Roman" w:hAnsi="Times New Roman"/>
          <w:sz w:val="28"/>
          <w:szCs w:val="28"/>
        </w:rPr>
        <w:t>多数发达市场采取事后执法与行业自律相结合的模式，禁止虚假或误导性宣传，禁止面向公众推广仅限专业人员使用的器械。但亦有国家要求医疗器械广告须完成事前审批。在与HCP交流及反商业贿赂方面，全球各市场均有相关规则，严厉程度不同，其中，美国《反海外腐败法》对涉及贿赂的行为具有域外管辖权。</w:t>
      </w:r>
    </w:p>
    <w:p w14:paraId="5DF5CC76">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在医疗器械产品经营资质方面，按照是否颁发单独“经营许可证”大致分为两类，</w:t>
      </w:r>
      <w:r>
        <w:rPr>
          <w:rFonts w:ascii="Times New Roman" w:hAnsi="Times New Roman"/>
          <w:sz w:val="28"/>
          <w:szCs w:val="28"/>
        </w:rPr>
        <w:t>一类</w:t>
      </w:r>
      <w:r>
        <w:rPr>
          <w:rFonts w:hint="eastAsia" w:ascii="Times New Roman" w:hAnsi="Times New Roman"/>
          <w:sz w:val="28"/>
          <w:szCs w:val="28"/>
        </w:rPr>
        <w:t>以</w:t>
      </w:r>
      <w:r>
        <w:rPr>
          <w:rFonts w:ascii="Times New Roman" w:hAnsi="Times New Roman"/>
          <w:sz w:val="28"/>
          <w:szCs w:val="28"/>
        </w:rPr>
        <w:t>欧盟、美国</w:t>
      </w:r>
      <w:r>
        <w:rPr>
          <w:rFonts w:hint="eastAsia" w:ascii="Times New Roman" w:hAnsi="Times New Roman"/>
          <w:sz w:val="28"/>
          <w:szCs w:val="28"/>
        </w:rPr>
        <w:t>为例，</w:t>
      </w:r>
      <w:r>
        <w:rPr>
          <w:rFonts w:ascii="Times New Roman" w:hAnsi="Times New Roman"/>
          <w:sz w:val="28"/>
          <w:szCs w:val="28"/>
        </w:rPr>
        <w:t>不强制分销商</w:t>
      </w:r>
      <w:r>
        <w:rPr>
          <w:rFonts w:hint="eastAsia" w:ascii="Times New Roman" w:hAnsi="Times New Roman"/>
          <w:sz w:val="28"/>
          <w:szCs w:val="28"/>
        </w:rPr>
        <w:t>取得</w:t>
      </w:r>
      <w:r>
        <w:rPr>
          <w:rFonts w:ascii="Times New Roman" w:hAnsi="Times New Roman"/>
          <w:sz w:val="28"/>
          <w:szCs w:val="28"/>
        </w:rPr>
        <w:t>单独牌照</w:t>
      </w:r>
      <w:r>
        <w:rPr>
          <w:rFonts w:hint="eastAsia" w:ascii="Times New Roman" w:hAnsi="Times New Roman"/>
          <w:sz w:val="28"/>
          <w:szCs w:val="28"/>
        </w:rPr>
        <w:t>，</w:t>
      </w:r>
      <w:r>
        <w:rPr>
          <w:rFonts w:ascii="Times New Roman" w:hAnsi="Times New Roman"/>
          <w:sz w:val="28"/>
          <w:szCs w:val="28"/>
        </w:rPr>
        <w:t>另一类</w:t>
      </w:r>
      <w:r>
        <w:rPr>
          <w:rFonts w:hint="eastAsia" w:ascii="Times New Roman" w:hAnsi="Times New Roman"/>
          <w:sz w:val="28"/>
          <w:szCs w:val="28"/>
        </w:rPr>
        <w:t>以新加坡、沙特等为例，</w:t>
      </w:r>
      <w:r>
        <w:rPr>
          <w:rFonts w:ascii="Times New Roman" w:hAnsi="Times New Roman"/>
          <w:sz w:val="28"/>
          <w:szCs w:val="28"/>
        </w:rPr>
        <w:t>强制本地进口商或批发商</w:t>
      </w:r>
      <w:r>
        <w:rPr>
          <w:rFonts w:hint="eastAsia" w:ascii="Times New Roman" w:hAnsi="Times New Roman"/>
          <w:sz w:val="28"/>
          <w:szCs w:val="28"/>
        </w:rPr>
        <w:t>取得相应</w:t>
      </w:r>
      <w:r>
        <w:rPr>
          <w:rFonts w:ascii="Times New Roman" w:hAnsi="Times New Roman"/>
          <w:sz w:val="28"/>
          <w:szCs w:val="28"/>
        </w:rPr>
        <w:t>牌照</w:t>
      </w:r>
      <w:r>
        <w:rPr>
          <w:rFonts w:hint="eastAsia" w:ascii="Times New Roman" w:hAnsi="Times New Roman"/>
          <w:sz w:val="28"/>
          <w:szCs w:val="28"/>
        </w:rPr>
        <w:t>。</w:t>
      </w:r>
    </w:p>
    <w:p w14:paraId="1F452C11">
      <w:pPr>
        <w:pStyle w:val="26"/>
        <w:numPr>
          <w:ilvl w:val="3"/>
          <w:numId w:val="1"/>
        </w:numPr>
        <w:spacing w:before="120" w:beforeLines="50" w:after="120" w:afterLines="50" w:line="360" w:lineRule="auto"/>
        <w:ind w:firstLine="562" w:firstLineChars="200"/>
        <w:jc w:val="both"/>
        <w:rPr>
          <w:rFonts w:ascii="Times New Roman" w:hAnsi="Times New Roman"/>
          <w:sz w:val="28"/>
          <w:szCs w:val="28"/>
          <w:lang w:val="en-GB"/>
        </w:rPr>
      </w:pPr>
      <w:r>
        <w:rPr>
          <w:rFonts w:ascii="Times New Roman" w:hAnsi="Times New Roman"/>
          <w:b/>
          <w:bCs/>
          <w:sz w:val="28"/>
          <w:szCs w:val="28"/>
          <w:lang w:val="en-GB"/>
        </w:rPr>
        <w:t>反倾销、反补贴与保障措施</w:t>
      </w:r>
    </w:p>
    <w:p w14:paraId="73673FDE">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全球医疗器械贸易的政策环境正在从传统的关税壁垒向制度性排斥和技术性壁垒升级。低值耗材因价格优势明显，面临的反倾销、反补贴</w:t>
      </w:r>
      <w:r>
        <w:rPr>
          <w:rFonts w:hint="eastAsia" w:ascii="Times New Roman" w:hAnsi="Times New Roman"/>
          <w:sz w:val="28"/>
          <w:szCs w:val="28"/>
        </w:rPr>
        <w:t>调查</w:t>
      </w:r>
      <w:r>
        <w:rPr>
          <w:rFonts w:ascii="Times New Roman" w:hAnsi="Times New Roman"/>
          <w:sz w:val="28"/>
          <w:szCs w:val="28"/>
        </w:rPr>
        <w:t>风险在各市场普遍高于高端设备。各国对医疗器械的公共采购政策正在成为贸易壁垒的新形式，本土化采购倾向在多数市场呈上升趋势。</w:t>
      </w:r>
    </w:p>
    <w:p w14:paraId="6BF2DC9B">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美国的贸易政策以关税为主要工具，但近期出现了缓和信号。美国基于</w:t>
      </w:r>
      <w:r>
        <w:rPr>
          <w:rFonts w:hint="eastAsia" w:ascii="Times New Roman" w:hAnsi="Times New Roman"/>
          <w:sz w:val="28"/>
          <w:szCs w:val="28"/>
        </w:rPr>
        <w:t>“</w:t>
      </w:r>
      <w:r>
        <w:rPr>
          <w:rFonts w:ascii="Times New Roman" w:hAnsi="Times New Roman"/>
          <w:sz w:val="28"/>
          <w:szCs w:val="28"/>
        </w:rPr>
        <w:t>301条款</w:t>
      </w:r>
      <w:r>
        <w:rPr>
          <w:rFonts w:hint="eastAsia" w:ascii="Times New Roman" w:hAnsi="Times New Roman"/>
          <w:sz w:val="28"/>
          <w:szCs w:val="28"/>
        </w:rPr>
        <w:t>”</w:t>
      </w:r>
      <w:r>
        <w:rPr>
          <w:rFonts w:ascii="Times New Roman" w:hAnsi="Times New Roman"/>
          <w:sz w:val="28"/>
          <w:szCs w:val="28"/>
        </w:rPr>
        <w:t>对中国商品加征的关税中，部分医疗器械产品获得了为期一年的关税排除延期，</w:t>
      </w:r>
      <w:r>
        <w:rPr>
          <w:rFonts w:hint="eastAsia" w:ascii="Times New Roman" w:hAnsi="Times New Roman"/>
          <w:sz w:val="28"/>
          <w:szCs w:val="28"/>
        </w:rPr>
        <w:t>但</w:t>
      </w:r>
      <w:r>
        <w:rPr>
          <w:rFonts w:ascii="Times New Roman" w:hAnsi="Times New Roman"/>
          <w:sz w:val="28"/>
          <w:szCs w:val="28"/>
        </w:rPr>
        <w:t>政策不确定性仍然较高。欧盟</w:t>
      </w:r>
      <w:r>
        <w:rPr>
          <w:rFonts w:hint="eastAsia" w:ascii="Times New Roman" w:hAnsi="Times New Roman"/>
          <w:sz w:val="28"/>
          <w:szCs w:val="28"/>
        </w:rPr>
        <w:t>市场的</w:t>
      </w:r>
      <w:r>
        <w:rPr>
          <w:rFonts w:ascii="Times New Roman" w:hAnsi="Times New Roman"/>
          <w:sz w:val="28"/>
          <w:szCs w:val="28"/>
        </w:rPr>
        <w:t>贸易壁垒形式</w:t>
      </w:r>
      <w:r>
        <w:rPr>
          <w:rFonts w:hint="eastAsia" w:ascii="Times New Roman" w:hAnsi="Times New Roman"/>
          <w:sz w:val="28"/>
          <w:szCs w:val="28"/>
        </w:rPr>
        <w:t>正</w:t>
      </w:r>
      <w:r>
        <w:rPr>
          <w:rFonts w:ascii="Times New Roman" w:hAnsi="Times New Roman"/>
          <w:sz w:val="28"/>
          <w:szCs w:val="28"/>
        </w:rPr>
        <w:t>从传统关税向制度性排斥升级。2025年6月20日，欧盟委员会依据《国际采购工具》（IPI）发布第2025/1197号执行条例，自2025年6月30日起禁止中国企业参与超过500万欧元的欧盟医疗器械公共采购项目，并要求中标项目中来自中国的医疗器械比例不得超过50%，限制期限为五年</w:t>
      </w:r>
      <w:r>
        <w:rPr>
          <w:rFonts w:hint="eastAsia" w:ascii="Times New Roman" w:hAnsi="Times New Roman"/>
          <w:sz w:val="28"/>
          <w:szCs w:val="28"/>
        </w:rPr>
        <w:t>，</w:t>
      </w:r>
      <w:r>
        <w:rPr>
          <w:rFonts w:ascii="Times New Roman" w:hAnsi="Times New Roman"/>
          <w:sz w:val="28"/>
          <w:szCs w:val="28"/>
        </w:rPr>
        <w:t>主要影响德国、法国、荷兰公立医院与国防医院招标，不影响商业分销渠道。</w:t>
      </w:r>
    </w:p>
    <w:p w14:paraId="4022F8D3">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东南亚</w:t>
      </w:r>
      <w:r>
        <w:rPr>
          <w:rFonts w:hint="eastAsia" w:ascii="Times New Roman" w:hAnsi="Times New Roman"/>
          <w:sz w:val="28"/>
          <w:szCs w:val="28"/>
        </w:rPr>
        <w:t>及中东市场</w:t>
      </w:r>
      <w:r>
        <w:rPr>
          <w:rFonts w:ascii="Times New Roman" w:hAnsi="Times New Roman"/>
          <w:sz w:val="28"/>
          <w:szCs w:val="28"/>
        </w:rPr>
        <w:t>目前未出现针对中国医疗器械的系统性贸易壁垒，</w:t>
      </w:r>
      <w:r>
        <w:rPr>
          <w:rFonts w:hint="eastAsia" w:ascii="Times New Roman" w:hAnsi="Times New Roman"/>
          <w:sz w:val="28"/>
          <w:szCs w:val="28"/>
        </w:rPr>
        <w:t>但事实上存在一定本地化采购偏好</w:t>
      </w:r>
      <w:r>
        <w:rPr>
          <w:rFonts w:ascii="Times New Roman" w:hAnsi="Times New Roman"/>
          <w:sz w:val="28"/>
          <w:szCs w:val="28"/>
        </w:rPr>
        <w:t>。中东目前未对中国医疗器械发起系统性双反调查。中亚</w:t>
      </w:r>
      <w:r>
        <w:rPr>
          <w:rFonts w:hint="eastAsia" w:ascii="Times New Roman" w:hAnsi="Times New Roman"/>
          <w:sz w:val="28"/>
          <w:szCs w:val="28"/>
        </w:rPr>
        <w:t>地区</w:t>
      </w:r>
      <w:r>
        <w:rPr>
          <w:rFonts w:ascii="Times New Roman" w:hAnsi="Times New Roman"/>
          <w:sz w:val="28"/>
          <w:szCs w:val="28"/>
        </w:rPr>
        <w:t>。</w:t>
      </w:r>
    </w:p>
    <w:p w14:paraId="0BB71216">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从全球层面的双反案例来看，低值耗材类产品在全球范围内面临的反倾销压力最大，</w:t>
      </w:r>
      <w:r>
        <w:rPr>
          <w:rFonts w:hint="eastAsia" w:ascii="Times New Roman" w:hAnsi="Times New Roman"/>
          <w:sz w:val="28"/>
          <w:szCs w:val="28"/>
        </w:rPr>
        <w:t>建议以</w:t>
      </w:r>
      <w:r>
        <w:rPr>
          <w:rFonts w:ascii="Times New Roman" w:hAnsi="Times New Roman"/>
          <w:sz w:val="28"/>
          <w:szCs w:val="28"/>
        </w:rPr>
        <w:t>耗材出口为主的</w:t>
      </w:r>
      <w:r>
        <w:rPr>
          <w:rFonts w:hint="eastAsia" w:ascii="Times New Roman" w:hAnsi="Times New Roman"/>
          <w:sz w:val="28"/>
          <w:szCs w:val="28"/>
        </w:rPr>
        <w:t>境内企业</w:t>
      </w:r>
      <w:r>
        <w:rPr>
          <w:rFonts w:ascii="Times New Roman" w:hAnsi="Times New Roman"/>
          <w:sz w:val="28"/>
          <w:szCs w:val="28"/>
        </w:rPr>
        <w:t>提前评估目标市场的双反风险敞口。</w:t>
      </w:r>
    </w:p>
    <w:p w14:paraId="3BB85B6C">
      <w:pPr>
        <w:pStyle w:val="26"/>
        <w:numPr>
          <w:ilvl w:val="1"/>
          <w:numId w:val="1"/>
        </w:numPr>
        <w:spacing w:before="120" w:beforeLines="50" w:after="120" w:afterLines="50" w:line="360" w:lineRule="auto"/>
        <w:jc w:val="center"/>
        <w:rPr>
          <w:rFonts w:ascii="Times New Roman" w:hAnsi="Times New Roman"/>
          <w:b/>
          <w:bCs/>
          <w:sz w:val="28"/>
          <w:szCs w:val="28"/>
          <w:lang w:val="en-GB"/>
        </w:rPr>
      </w:pPr>
      <w:r>
        <w:rPr>
          <w:rFonts w:hint="eastAsia" w:ascii="Times New Roman" w:hAnsi="Times New Roman"/>
          <w:b/>
          <w:bCs/>
          <w:sz w:val="28"/>
          <w:szCs w:val="28"/>
          <w:lang w:val="en-GB"/>
        </w:rPr>
        <w:t xml:space="preserve"> 北美地区</w:t>
      </w:r>
    </w:p>
    <w:p w14:paraId="2A981082">
      <w:pPr>
        <w:pStyle w:val="26"/>
        <w:numPr>
          <w:ilvl w:val="2"/>
          <w:numId w:val="1"/>
        </w:numPr>
        <w:spacing w:before="120" w:beforeLines="50" w:after="120" w:afterLines="50" w:line="360" w:lineRule="auto"/>
        <w:ind w:firstLine="562" w:firstLineChars="200"/>
        <w:jc w:val="both"/>
        <w:rPr>
          <w:rFonts w:ascii="Times New Roman" w:hAnsi="Times New Roman"/>
          <w:sz w:val="28"/>
          <w:szCs w:val="28"/>
          <w:lang w:val="en-GB"/>
        </w:rPr>
      </w:pPr>
      <w:r>
        <w:rPr>
          <w:rFonts w:hint="eastAsia" w:ascii="Times New Roman" w:hAnsi="Times New Roman"/>
          <w:b/>
          <w:bCs/>
          <w:sz w:val="28"/>
          <w:szCs w:val="28"/>
          <w:lang w:val="en-GB"/>
        </w:rPr>
        <w:t>美国</w:t>
      </w:r>
    </w:p>
    <w:p w14:paraId="26BE0FA3">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通关监管合规</w:t>
      </w:r>
    </w:p>
    <w:p w14:paraId="68BC5E18">
      <w:pPr>
        <w:pStyle w:val="26"/>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美国医疗器械进口实行海关与美国食品药品监督管理局（FDA）双部门联动监管模式：美国海关与边境保护局（CBP）负责口岸通关管理、关税征收与贸易管制执行，FDA同步开展入境产品的上市准入合规性核验，两类监管要求并行生效，任一环节不达标均可能导致货物滞留、退运、罚款甚至没收。企业需建立覆盖单证准备、申报、查验、处置全流程的通关合规体系。</w:t>
      </w:r>
    </w:p>
    <w:p w14:paraId="3343F10F">
      <w:pPr>
        <w:pStyle w:val="26"/>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1.</w:t>
      </w:r>
      <w:r>
        <w:rPr>
          <w:rFonts w:hint="eastAsia" w:ascii="Times New Roman" w:hAnsi="Times New Roman"/>
          <w:b/>
          <w:bCs/>
          <w:sz w:val="28"/>
          <w:szCs w:val="28"/>
          <w:lang w:val="en-GB"/>
        </w:rPr>
        <w:tab/>
      </w:r>
      <w:r>
        <w:rPr>
          <w:rFonts w:hint="eastAsia" w:ascii="Times New Roman" w:hAnsi="Times New Roman"/>
          <w:b/>
          <w:bCs/>
          <w:sz w:val="28"/>
          <w:szCs w:val="28"/>
          <w:lang w:val="en-GB"/>
        </w:rPr>
        <w:t>进口通关必备单证体系</w:t>
      </w:r>
    </w:p>
    <w:p w14:paraId="5083A22B">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医疗器械进口单证分为基础商业单证、资质证明类单证、FDA准入类单证三大类，全套单证须在货物到港前准备完毕，确保信息相互印证、单货一致。</w:t>
      </w:r>
    </w:p>
    <w:p w14:paraId="64F11DAA">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1.1</w:t>
      </w:r>
      <w:r>
        <w:rPr>
          <w:rFonts w:hint="eastAsia" w:ascii="Times New Roman" w:hAnsi="Times New Roman"/>
          <w:sz w:val="28"/>
          <w:szCs w:val="28"/>
          <w:lang w:val="en-GB"/>
        </w:rPr>
        <w:tab/>
      </w:r>
      <w:r>
        <w:rPr>
          <w:rFonts w:hint="eastAsia" w:ascii="Times New Roman" w:hAnsi="Times New Roman"/>
          <w:sz w:val="28"/>
          <w:szCs w:val="28"/>
          <w:lang w:val="en-GB"/>
        </w:rPr>
        <w:t>基础商业与物流单证</w:t>
      </w:r>
    </w:p>
    <w:p w14:paraId="110BFEFE">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美国医疗器械进口需具备以下基础商业与物流单证：（1）商业发票：须完整载明产品名称、规格型号、注册编号、数量、单价、总价、贸易术语、交易双方信息等核心要素，表述须与实际交易文件完全对应，不得遗漏影响估价的相关费用项；（2）装箱明细单：逐箱列明对应货品的明细、净重、毛重、体积、包装规格，便于海关核验货单一致性；成套器械须标注部件拆分情况与对应编号；（3）运输提单、运单等物流凭证：作为货物入境与物权转移的基础依据。</w:t>
      </w:r>
    </w:p>
    <w:p w14:paraId="14420FE5">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1.2</w:t>
      </w:r>
      <w:r>
        <w:rPr>
          <w:rFonts w:hint="eastAsia" w:ascii="Times New Roman" w:hAnsi="Times New Roman"/>
          <w:sz w:val="28"/>
          <w:szCs w:val="28"/>
          <w:lang w:val="en-GB"/>
        </w:rPr>
        <w:tab/>
      </w:r>
      <w:r>
        <w:rPr>
          <w:rFonts w:hint="eastAsia" w:ascii="Times New Roman" w:hAnsi="Times New Roman"/>
          <w:sz w:val="28"/>
          <w:szCs w:val="28"/>
          <w:lang w:val="en-GB"/>
        </w:rPr>
        <w:t>原产地与质量证明类单证</w:t>
      </w:r>
    </w:p>
    <w:p w14:paraId="456891D1">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美国医疗器械进口需具备以下原产地与质量证明类单证：（1）原产地证书：用于核定适用的关税税率，申请自贸协定优惠税率的，须对应满足相应原产地规则；美国海关会对原产地真实性开展抽查；（2）第三方质量检测报告：针对高风险或特定品类医疗器械，由具备资质的检测机构出具，证明产品符合美国适用的安全与性能标准。</w:t>
      </w:r>
    </w:p>
    <w:p w14:paraId="57AEDFA8">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1.3</w:t>
      </w:r>
      <w:r>
        <w:rPr>
          <w:rFonts w:hint="eastAsia" w:ascii="Times New Roman" w:hAnsi="Times New Roman"/>
          <w:sz w:val="28"/>
          <w:szCs w:val="28"/>
          <w:lang w:val="en-GB"/>
        </w:rPr>
        <w:tab/>
      </w:r>
      <w:r>
        <w:rPr>
          <w:rFonts w:hint="eastAsia" w:ascii="Times New Roman" w:hAnsi="Times New Roman"/>
          <w:sz w:val="28"/>
          <w:szCs w:val="28"/>
          <w:lang w:val="en-GB"/>
        </w:rPr>
        <w:t>FDA准入类核心单证</w:t>
      </w:r>
    </w:p>
    <w:p w14:paraId="6AC71CFA">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该类单证是医疗器械入境的前提条件，海关凭FDA有效准入文件办理放行，具体包括：（1）对应产品上市路径的批准文件，包括510 (k)实质等同判定信（Clearance Letter）、PMA上市前批准函（Approval Letter）、510 (k)豁免认定文件等；（2）FDA企业注册与产品列名的有效证明；（3）部分管控类、特殊用途医疗器械，还须提供FDA专项进口许可、卫生检疫证书等补充文件。</w:t>
      </w:r>
    </w:p>
    <w:p w14:paraId="73AF80B4">
      <w:pPr>
        <w:pStyle w:val="26"/>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2.</w:t>
      </w:r>
      <w:r>
        <w:rPr>
          <w:rFonts w:hint="eastAsia" w:ascii="Times New Roman" w:hAnsi="Times New Roman"/>
          <w:b/>
          <w:bCs/>
          <w:sz w:val="28"/>
          <w:szCs w:val="28"/>
          <w:lang w:val="en-GB"/>
        </w:rPr>
        <w:tab/>
      </w:r>
      <w:r>
        <w:rPr>
          <w:rFonts w:hint="eastAsia" w:ascii="Times New Roman" w:hAnsi="Times New Roman"/>
          <w:b/>
          <w:bCs/>
          <w:sz w:val="28"/>
          <w:szCs w:val="28"/>
          <w:lang w:val="en-GB"/>
        </w:rPr>
        <w:t>申报价值与海关估价合规</w:t>
      </w:r>
    </w:p>
    <w:p w14:paraId="2EE96A29">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美国海关以成交价格法为核心估价准则，进口申报价值须真实反映货物的实际交易对价，包含除单独列明的国际运输、保险费之外的全部买方支付对价。</w:t>
      </w:r>
    </w:p>
    <w:p w14:paraId="4B9A689B">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2.1 申报价值风险</w:t>
      </w:r>
    </w:p>
    <w:p w14:paraId="7DABE79C">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申报价值偏离真实交易价格将引发双重风险：高报将超额缴纳关税及相关附加税费，直接推高进口成本；低报可能被认定为故意逃避关税义务，触发海关正式估价复核，除补缴税差外，还可能处以罚款、没收货物，情节严重的追究相关责任。</w:t>
      </w:r>
    </w:p>
    <w:p w14:paraId="46E13BB1">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2.2 海关估价核查机制</w:t>
      </w:r>
    </w:p>
    <w:p w14:paraId="49BBBE0E">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CBP会参照同类产品交易价格、行业价格数据库、企业历史申报数据等维度对申报价值进行交叉核验。关联交易定价、特殊商务安排、附带技术服务的打包交易等情形，更容易引发海关估价质疑。企业须留存完整的交易合同、定价依据、付款凭证、成本核算等支持材料，以备海关核查。</w:t>
      </w:r>
    </w:p>
    <w:p w14:paraId="4277073D">
      <w:pPr>
        <w:pStyle w:val="26"/>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3.</w:t>
      </w:r>
      <w:r>
        <w:rPr>
          <w:rFonts w:hint="eastAsia" w:ascii="Times New Roman" w:hAnsi="Times New Roman"/>
          <w:b/>
          <w:bCs/>
          <w:sz w:val="28"/>
          <w:szCs w:val="28"/>
          <w:lang w:val="en-GB"/>
        </w:rPr>
        <w:tab/>
      </w:r>
      <w:r>
        <w:rPr>
          <w:rFonts w:hint="eastAsia" w:ascii="Times New Roman" w:hAnsi="Times New Roman"/>
          <w:b/>
          <w:bCs/>
          <w:sz w:val="28"/>
          <w:szCs w:val="28"/>
          <w:lang w:val="en-GB"/>
        </w:rPr>
        <w:t>口岸查验与监管联动</w:t>
      </w:r>
    </w:p>
    <w:p w14:paraId="6B5D7511">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3.1 CBP查验机制</w:t>
      </w:r>
    </w:p>
    <w:p w14:paraId="7B60F912">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CBP有权对进口货物采取单证审核、非侵入式扫描、开箱抽样查验等多种查验方式，重点核查货单一致性、商品归类准确性、原产地真实性、知识产权状况、贸易管制合规性等。医疗器械属于高监管重点品类，开箱查验概率普遍高于普通货物。</w:t>
      </w:r>
    </w:p>
    <w:p w14:paraId="524016F5">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3.2 现场配合要求</w:t>
      </w:r>
    </w:p>
    <w:p w14:paraId="7FBD92BC">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货物到港前，企业应协同委托报关行完成全套单证预审核，提前排查信息矛盾与缺失；海关启动查验的，须按要求安排人员在指定时间到场配合，提供产品技术说明、注册文件、检测报告等补充材料；查验发现问题的，及时提交补正材料或整改方案，主动沟通处置路径，尽量缩短滞港时间。</w:t>
      </w:r>
    </w:p>
    <w:p w14:paraId="26B33F6B">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3.3 FDA口岸联动监管</w:t>
      </w:r>
    </w:p>
    <w:p w14:paraId="2F254DC3">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FDA对入境医疗器械同步开展口岸抽查，重点核验产品标签、标识、说明书是否符合法规要求，产品参数是否与获批信息一致。存在过往违规记录、高风险品类的企业，可能被列入FDA自动扣留（DWPE）名单，相关产品入境时自动触发扣查，须经实验室检测或合规核验通过后方可放行，未通过的作退运或销毁处理。</w:t>
      </w:r>
    </w:p>
    <w:p w14:paraId="646AB3D5">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医疗器械上市准入体系</w:t>
      </w:r>
    </w:p>
    <w:p w14:paraId="25E051B1">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FDA依据《联邦食品、药品和化妆品法》（FDCA）构建了以风险为核心的分级上市准入体系，根据器械的预期用途、潜在风险程度与技术属性划分为三大监管类别，匹配差异化的准入要求与申报路径，实现从低风险通用器械到高风险创新器械的全谱系监管。</w:t>
      </w:r>
    </w:p>
    <w:p w14:paraId="29AACD5E">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w:t>
      </w:r>
      <w:r>
        <w:rPr>
          <w:rFonts w:hint="eastAsia" w:ascii="Times New Roman" w:hAnsi="Times New Roman"/>
          <w:b/>
          <w:bCs/>
          <w:sz w:val="28"/>
          <w:szCs w:val="28"/>
        </w:rPr>
        <w:tab/>
      </w:r>
      <w:r>
        <w:rPr>
          <w:rFonts w:hint="eastAsia" w:ascii="Times New Roman" w:hAnsi="Times New Roman"/>
          <w:b/>
          <w:bCs/>
          <w:sz w:val="28"/>
          <w:szCs w:val="28"/>
        </w:rPr>
        <w:t>风险分类体系与分类判定</w:t>
      </w:r>
    </w:p>
    <w:p w14:paraId="18954F5D">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1.1 三级监管分类</w:t>
      </w:r>
    </w:p>
    <w:p w14:paraId="33126FD0">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FDA以风险等级为核心标尺，将医疗器械划分为 I、II、III 三类，监管强度逐级递增。</w:t>
      </w:r>
    </w:p>
    <w:p w14:paraId="65584DE9">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1.1.1</w:t>
      </w:r>
      <w:r>
        <w:rPr>
          <w:rFonts w:hint="eastAsia" w:ascii="Times New Roman" w:hAnsi="Times New Roman"/>
          <w:sz w:val="28"/>
          <w:szCs w:val="28"/>
        </w:rPr>
        <w:tab/>
      </w:r>
      <w:r>
        <w:rPr>
          <w:rFonts w:hint="eastAsia" w:ascii="Times New Roman" w:hAnsi="Times New Roman"/>
          <w:sz w:val="28"/>
          <w:szCs w:val="28"/>
        </w:rPr>
        <w:t>I 类器械</w:t>
      </w:r>
    </w:p>
    <w:p w14:paraId="07B1CB33">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风险程度最低，仅适用“一般控制”规则，涵盖通用标签规范、生产设施注册、产品列名管理及上市后合规义务等基础性要求，多为日常诊疗场景下的通用型器械。</w:t>
      </w:r>
    </w:p>
    <w:p w14:paraId="4ACD180D">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1.1.2</w:t>
      </w:r>
      <w:r>
        <w:rPr>
          <w:rFonts w:hint="eastAsia" w:ascii="Times New Roman" w:hAnsi="Times New Roman"/>
          <w:sz w:val="28"/>
          <w:szCs w:val="28"/>
        </w:rPr>
        <w:tab/>
      </w:r>
      <w:r>
        <w:rPr>
          <w:rFonts w:hint="eastAsia" w:ascii="Times New Roman" w:hAnsi="Times New Roman"/>
          <w:sz w:val="28"/>
          <w:szCs w:val="28"/>
        </w:rPr>
        <w:t>II 类器械</w:t>
      </w:r>
    </w:p>
    <w:p w14:paraId="3920913A">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中等风险等级，在一般控制基础上叠加“特殊控制”要求，针对特定品类制定专项性能标准、上市前数据要求、特殊标识规则等，通过品类化管控精准防控特定安全风险。</w:t>
      </w:r>
    </w:p>
    <w:p w14:paraId="31702421">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1.1.3</w:t>
      </w:r>
      <w:r>
        <w:rPr>
          <w:rFonts w:hint="eastAsia" w:ascii="Times New Roman" w:hAnsi="Times New Roman"/>
          <w:sz w:val="28"/>
          <w:szCs w:val="28"/>
        </w:rPr>
        <w:tab/>
      </w:r>
      <w:r>
        <w:rPr>
          <w:rFonts w:hint="eastAsia" w:ascii="Times New Roman" w:hAnsi="Times New Roman"/>
          <w:sz w:val="28"/>
          <w:szCs w:val="28"/>
        </w:rPr>
        <w:t>III 类器械</w:t>
      </w:r>
    </w:p>
    <w:p w14:paraId="3626D976">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高风险等级，通常用于支持或维持生命、植入人体或存在重大潜在安全风险，除一般控制要求外，强制要求通过上市前批准（PMA）程序后方可进入市场。</w:t>
      </w:r>
    </w:p>
    <w:p w14:paraId="0B7144A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1.2 分类裁定机制</w:t>
      </w:r>
    </w:p>
    <w:p w14:paraId="1364A5A0">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企业对产品分类归属存在疑问的，可依据FDCA第513 (g)条向FDA提交正式分类裁定申请，由FDA出具明确的分类结论并告知对应的上市监管要求。该申请并非强制前置程序，企业也可通过对照FDA发布的分类法规、参考同类已上市产品的监管实践，自行判定产品分类与适用的上市路径。</w:t>
      </w:r>
    </w:p>
    <w:p w14:paraId="17329982">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差异化上市准入路径</w:t>
      </w:r>
    </w:p>
    <w:p w14:paraId="0B37D46A">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按照风险从低到高、创新程度从弱到强，FDA设置四类差异化上市通道，企业可结合产品属性对应选择。</w:t>
      </w:r>
    </w:p>
    <w:p w14:paraId="77DCA53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2.1 510 (k)豁免通道</w:t>
      </w:r>
    </w:p>
    <w:p w14:paraId="66BB56D1">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绝大多数I类器械及少量低风险II类器械，可适用510 (k)豁免，无需提交上市前通知或专项审批即可上市。企业仅需完成三项基础合规动作：（1）自行核验产品符合对应分类的豁免条件；（2）完成生产设施的FDA注册；（3）将产品信息向 FDA完成列名备案。</w:t>
      </w:r>
    </w:p>
    <w:p w14:paraId="3BFE8B55">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豁免资格并非永久有效：若产品拟定用途、核心技术与同类通用器械存在显著差异，将自动丧失豁免资质，须按对应程序申请正式上市许可。</w:t>
      </w:r>
    </w:p>
    <w:p w14:paraId="2F341BF0">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2.2 510 (k)上市前通知</w:t>
      </w:r>
    </w:p>
    <w:p w14:paraId="7D209AC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510 (k)是II类器械的主流上市路径，依据FDCA第510 (k)条设立，核心准入标准为实质性等同原则，即申请产品与已合法上市的同分类对照器械相比，不存在新的安全性或有效性风险。 </w:t>
      </w:r>
    </w:p>
    <w:p w14:paraId="66DEC744">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实质性等同的判定核心包括两项：一是产品的预期用途与对照器械完全一致；二是产品存在的技术差异不会引发新的安全风险或有效性问题。申报材料须包含拟上市标签、技术性能数据、台架试验报告等全套证明文件。 </w:t>
      </w:r>
    </w:p>
    <w:p w14:paraId="0B8F690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FDA对510 (k)申请的目标审查周期为90个FDA审查工作日（FDA days，仅计FDA 实际审评时间，不含企业补件暂停期）；审查过程中要求企业补充材料的，审查计时可中止，累计中止时长最长不超过180个日历日，补充材料提交后恢复计时。</w:t>
      </w:r>
    </w:p>
    <w:p w14:paraId="17BCE58C">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2.3 De Novo分类申请</w:t>
      </w:r>
    </w:p>
    <w:p w14:paraId="44BEE195">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对于无合适对照器械、无法通过510 (k)路径申报的新型中等风险器械，企业可提交De Novo分类申请，请求FDA为该类产品建立全新的分类规则，并将其划入I类或II类实施常态化监管。 </w:t>
      </w:r>
    </w:p>
    <w:p w14:paraId="69E0F40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该路径无需证明实质性等同，核心举证逻辑为获益-风险可接受，即通过临床数据、性能验证等证据，论证产品的预期临床获益大于潜在安全风险。FDA对De Novo申请的目标审查周期为150个FDA审查工作日；需补充材料的，审查同样可中止累计最长180个日历日。</w:t>
      </w:r>
    </w:p>
    <w:p w14:paraId="75FECE1D">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2.4 上市前批准（PMA）</w:t>
      </w:r>
    </w:p>
    <w:p w14:paraId="4B362E5D">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III类高风险器械强制适用 PMA程序，这也是FDA唯一出具正式“批准函”的上市路径。申请人须提供充分、科学的临床与非临床证据，合理证明产品在预期用途下的安全性与有效性。 </w:t>
      </w:r>
    </w:p>
    <w:p w14:paraId="789D7B20">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与其他路径相比，PMA 的证据要求最为严格：通常要求提交一项或多项设计良好的受控临床研究数据，同时须完整披露生产制造流程、质量体系符合性证明等材料。FDA 在审查过程中会安排上市前现场检查，核验生产体系与质量控制能力。 </w:t>
      </w:r>
    </w:p>
    <w:p w14:paraId="4C89768E">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PMA无固定审查时限，周期相对更长且弹性更强：FDA指出申报缺陷后企业提交重大修正的，审查时间相应延长；涉及复杂技术或重大临床问题的，还可能召开专家咨询委员会会议进一步论证，审查周期进一步拉长。</w:t>
      </w:r>
    </w:p>
    <w:p w14:paraId="50961035">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3. 上市准入配套机制</w:t>
      </w:r>
    </w:p>
    <w:p w14:paraId="27F8AD4D">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3.1 预提交沟通机制</w:t>
      </w:r>
    </w:p>
    <w:p w14:paraId="0A1D39F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正式递交上市申请前，申请人可自愿申请与FDA召开预提交会议，就申报数据范围、研究设计、技术路径等问题提前获取FDA的反馈意见，降低正式申报后的补正风险，提升整体审评效率。</w:t>
      </w:r>
    </w:p>
    <w:p w14:paraId="1E458E2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3.2 用户费制度</w:t>
      </w:r>
    </w:p>
    <w:p w14:paraId="119721AE">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FDA对各类上市申请收取器械用户费，费用标准按申请类型区分，且通常随财政年度经国会批准后动态调整。作为收取用户费的对价，FDA承诺在法定时限内完成一定比例的申请审评，例如95%的510 (k)申请在90个FDA审查工作日目标时限内完成审查，70%的De Novo申请在150个FDA审查工作日目标时限内完成审查。</w:t>
      </w:r>
    </w:p>
    <w:p w14:paraId="6C81E77D">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代理人制度</w:t>
      </w:r>
    </w:p>
    <w:p w14:paraId="15C3E989">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 制度定位与法律依据</w:t>
      </w:r>
    </w:p>
    <w:p w14:paraId="17E2F06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根据《联邦食品、药品和化妆品法》（FDCA）及21 CFR第807部分的规定，所有境外医疗器械制造商，若要将其产品投入美国市场，必须指定一名位于美国境内的美国代理人（US Agent）。该要求为强制性法定要求，是境外企业完成FDA生产设施注册、产品列名的必备前提；未指定合规美国代理人的境外企业，无法完成FDA注册流程，其产品不得合法进入美国市场。</w:t>
      </w:r>
    </w:p>
    <w:p w14:paraId="782E869F">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法定资质要求</w:t>
      </w:r>
    </w:p>
    <w:p w14:paraId="2BEF79B9">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依据21 CFR第807部分的明确规定，合格的美国代理人应当符合以下条件：（1）在美国境内拥有固定的居住地址或实体营业场所，不得仅为虚拟地址；（2）在法定工作时段保持稳定、可响应的联络渠道；（3）具备完整接收、转递FDA官方文书、监管通知与法律文件的能力。 </w:t>
      </w:r>
    </w:p>
    <w:p w14:paraId="1D1D80B5">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美国代理人可以是独立第三方合规服务机构、美国本土合作企业，也可以是境外企业在美国设立的关联主体，不要求其为境外制造商的直属雇员。</w:t>
      </w:r>
    </w:p>
    <w:p w14:paraId="0FDF52B5">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3.</w:t>
      </w:r>
      <w:r>
        <w:rPr>
          <w:rFonts w:hint="eastAsia" w:ascii="Times New Roman" w:hAnsi="Times New Roman"/>
          <w:b/>
          <w:bCs/>
          <w:sz w:val="28"/>
          <w:szCs w:val="28"/>
        </w:rPr>
        <w:tab/>
      </w:r>
      <w:r>
        <w:rPr>
          <w:rFonts w:hint="eastAsia" w:ascii="Times New Roman" w:hAnsi="Times New Roman"/>
          <w:b/>
          <w:bCs/>
          <w:sz w:val="28"/>
          <w:szCs w:val="28"/>
        </w:rPr>
        <w:t>核心合规职责</w:t>
      </w:r>
    </w:p>
    <w:p w14:paraId="0574B104">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3.1</w:t>
      </w:r>
      <w:r>
        <w:rPr>
          <w:rFonts w:hint="eastAsia" w:ascii="Times New Roman" w:hAnsi="Times New Roman"/>
          <w:sz w:val="28"/>
          <w:szCs w:val="28"/>
        </w:rPr>
        <w:tab/>
      </w:r>
      <w:r>
        <w:rPr>
          <w:rFonts w:hint="eastAsia" w:ascii="Times New Roman" w:hAnsi="Times New Roman"/>
          <w:sz w:val="28"/>
          <w:szCs w:val="28"/>
        </w:rPr>
        <w:t>注册备案事务办理</w:t>
      </w:r>
    </w:p>
    <w:p w14:paraId="68B78FF6">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作为境外制造商的法定联络主体，可以代为办理FDA企业注册、产品列名等法定手续。FDA注册档案中必须载明美国代理人的名称与联系方式，代理人信息发生变更的，须在规定时限内向FDA更新，确保注册状态持续有效。</w:t>
      </w:r>
    </w:p>
    <w:p w14:paraId="651AC255">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3.2</w:t>
      </w:r>
      <w:r>
        <w:rPr>
          <w:rFonts w:hint="eastAsia" w:ascii="Times New Roman" w:hAnsi="Times New Roman"/>
          <w:sz w:val="28"/>
          <w:szCs w:val="28"/>
        </w:rPr>
        <w:tab/>
      </w:r>
      <w:r>
        <w:rPr>
          <w:rFonts w:hint="eastAsia" w:ascii="Times New Roman" w:hAnsi="Times New Roman"/>
          <w:sz w:val="28"/>
          <w:szCs w:val="28"/>
        </w:rPr>
        <w:t>监管沟通枢纽</w:t>
      </w:r>
    </w:p>
    <w:p w14:paraId="4E9E1B4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作为FDA与境外制造商之间的官方对接渠道，统一接收FDA出具的问询函、现场检查通知、警告信、监管政策更新等各类官方文件，并及时、完整地转递给境外制造商，避免因跨境沟通不畅导致监管响应延迟或合规疏漏。</w:t>
      </w:r>
    </w:p>
    <w:p w14:paraId="2289824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3.3</w:t>
      </w:r>
      <w:r>
        <w:rPr>
          <w:rFonts w:hint="eastAsia" w:ascii="Times New Roman" w:hAnsi="Times New Roman"/>
          <w:sz w:val="28"/>
          <w:szCs w:val="28"/>
        </w:rPr>
        <w:tab/>
      </w:r>
      <w:r>
        <w:rPr>
          <w:rFonts w:hint="eastAsia" w:ascii="Times New Roman" w:hAnsi="Times New Roman"/>
          <w:sz w:val="28"/>
          <w:szCs w:val="28"/>
        </w:rPr>
        <w:t>现场检查与合规配合</w:t>
      </w:r>
    </w:p>
    <w:p w14:paraId="20227B4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协调FDA对境外生产场地的现场检查安排，提供现场对接与沟通支持。及时回应FDA关于产品安全、生产质量体系、不良事件等方面的问询，协助制造商落实监管整改要求。</w:t>
      </w:r>
    </w:p>
    <w:p w14:paraId="4E9AA2F1">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销售流通合规</w:t>
      </w:r>
    </w:p>
    <w:p w14:paraId="5CE116EA">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 经营资质管理</w:t>
      </w:r>
    </w:p>
    <w:p w14:paraId="4238F9DB">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美国联邦层面未推行全国统一的医疗器械经营许可制度，产品端的上市准入由FDA统一监管，流通环节的资质管理以州级立法为核心：</w:t>
      </w:r>
    </w:p>
    <w:p w14:paraId="1ED62126">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1.1</w:t>
      </w:r>
      <w:r>
        <w:rPr>
          <w:rFonts w:hint="eastAsia" w:ascii="Times New Roman" w:hAnsi="Times New Roman"/>
          <w:sz w:val="28"/>
          <w:szCs w:val="28"/>
        </w:rPr>
        <w:tab/>
      </w:r>
      <w:r>
        <w:rPr>
          <w:rFonts w:hint="eastAsia" w:ascii="Times New Roman" w:hAnsi="Times New Roman"/>
          <w:sz w:val="28"/>
          <w:szCs w:val="28"/>
        </w:rPr>
        <w:t>批发环节</w:t>
      </w:r>
    </w:p>
    <w:p w14:paraId="17C27970">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美国多数州对医疗器械批量分销业务设置专门许可，从事医疗器械批发的企业须取得经营所在州的批发资质。</w:t>
      </w:r>
    </w:p>
    <w:p w14:paraId="1AB96DDE">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1.2</w:t>
      </w:r>
      <w:r>
        <w:rPr>
          <w:rFonts w:hint="eastAsia" w:ascii="Times New Roman" w:hAnsi="Times New Roman"/>
          <w:sz w:val="28"/>
          <w:szCs w:val="28"/>
        </w:rPr>
        <w:tab/>
      </w:r>
      <w:r>
        <w:rPr>
          <w:rFonts w:hint="eastAsia" w:ascii="Times New Roman" w:hAnsi="Times New Roman"/>
          <w:sz w:val="28"/>
          <w:szCs w:val="28"/>
        </w:rPr>
        <w:t>零售环节</w:t>
      </w:r>
    </w:p>
    <w:p w14:paraId="56B8AF9E">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面向终端消费者开展医疗器械零售的，部分州要求经营者取得对应零售类经营许可。</w:t>
      </w:r>
    </w:p>
    <w:p w14:paraId="063635AA">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1.3</w:t>
      </w:r>
      <w:r>
        <w:rPr>
          <w:rFonts w:hint="eastAsia" w:ascii="Times New Roman" w:hAnsi="Times New Roman"/>
          <w:sz w:val="28"/>
          <w:szCs w:val="28"/>
        </w:rPr>
        <w:tab/>
      </w:r>
      <w:r>
        <w:rPr>
          <w:rFonts w:hint="eastAsia" w:ascii="Times New Roman" w:hAnsi="Times New Roman"/>
          <w:sz w:val="28"/>
          <w:szCs w:val="28"/>
        </w:rPr>
        <w:t>进出口环节</w:t>
      </w:r>
    </w:p>
    <w:p w14:paraId="68B5787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从事医疗器械进口的主体，须完成海关与边境保护局（CBP）的相关进口备案，配合口岸通关监管。</w:t>
      </w:r>
    </w:p>
    <w:p w14:paraId="14DC93C1">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主流分销模式</w:t>
      </w:r>
    </w:p>
    <w:p w14:paraId="6D1D1100">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美国医疗器械市场以多层级分销为核心流通模式，境外制造商通常不直接面向终端用户销售，主流路径包括：</w:t>
      </w:r>
    </w:p>
    <w:p w14:paraId="0F222E8E">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2.1</w:t>
      </w:r>
      <w:r>
        <w:rPr>
          <w:rFonts w:hint="eastAsia" w:ascii="Times New Roman" w:hAnsi="Times New Roman"/>
          <w:sz w:val="28"/>
          <w:szCs w:val="28"/>
        </w:rPr>
        <w:tab/>
      </w:r>
      <w:r>
        <w:rPr>
          <w:rFonts w:hint="eastAsia" w:ascii="Times New Roman" w:hAnsi="Times New Roman"/>
          <w:sz w:val="28"/>
          <w:szCs w:val="28"/>
        </w:rPr>
        <w:t>授权分销模式</w:t>
      </w:r>
    </w:p>
    <w:p w14:paraId="2D60B350">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授权美国本土具备资质的全国性或区域性批发分销商，将产品向下分销至次级经销商、医疗机构、零售终端等，是境外医疗器械企业进入美国市场最普遍的选择。</w:t>
      </w:r>
    </w:p>
    <w:p w14:paraId="71CBC09A">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2.2</w:t>
      </w:r>
      <w:r>
        <w:rPr>
          <w:rFonts w:hint="eastAsia" w:ascii="Times New Roman" w:hAnsi="Times New Roman"/>
          <w:sz w:val="28"/>
          <w:szCs w:val="28"/>
        </w:rPr>
        <w:tab/>
      </w:r>
      <w:r>
        <w:rPr>
          <w:rFonts w:hint="eastAsia" w:ascii="Times New Roman" w:hAnsi="Times New Roman"/>
          <w:sz w:val="28"/>
          <w:szCs w:val="28"/>
        </w:rPr>
        <w:t>本土主体运营模式</w:t>
      </w:r>
    </w:p>
    <w:p w14:paraId="30A8CB2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境外企业设立美国全资子公司，以美国本土市场主体身份统筹销售业务，自主管理分销网络，或直接对接大型医疗集团、连锁药店等核心渠道。</w:t>
      </w:r>
    </w:p>
    <w:p w14:paraId="56869712">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2.3</w:t>
      </w:r>
      <w:r>
        <w:rPr>
          <w:rFonts w:hint="eastAsia" w:ascii="Times New Roman" w:hAnsi="Times New Roman"/>
          <w:sz w:val="28"/>
          <w:szCs w:val="28"/>
        </w:rPr>
        <w:tab/>
      </w:r>
      <w:r>
        <w:rPr>
          <w:rFonts w:hint="eastAsia" w:ascii="Times New Roman" w:hAnsi="Times New Roman"/>
          <w:sz w:val="28"/>
          <w:szCs w:val="28"/>
        </w:rPr>
        <w:t>直客销售模式</w:t>
      </w:r>
    </w:p>
    <w:p w14:paraId="045E69B4">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仅适用于大型影像设备、植入类高值器械等特定品类，由制造商或其美国主体直接对接医疗机构、医疗系统等B端客户，基本不面向个人消费者开展直销。</w:t>
      </w:r>
    </w:p>
    <w:p w14:paraId="3509E1E7">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3.</w:t>
      </w:r>
      <w:r>
        <w:rPr>
          <w:rFonts w:hint="eastAsia" w:ascii="Times New Roman" w:hAnsi="Times New Roman"/>
          <w:b/>
          <w:bCs/>
          <w:sz w:val="28"/>
          <w:szCs w:val="28"/>
        </w:rPr>
        <w:tab/>
      </w:r>
      <w:r>
        <w:rPr>
          <w:rFonts w:hint="eastAsia" w:ascii="Times New Roman" w:hAnsi="Times New Roman"/>
          <w:b/>
          <w:bCs/>
          <w:sz w:val="28"/>
          <w:szCs w:val="28"/>
        </w:rPr>
        <w:t>销售对象边界</w:t>
      </w:r>
    </w:p>
    <w:p w14:paraId="572C27A5">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医疗器械的可销售对象范围，由产品的监管属性（处方/非处方）决定：</w:t>
      </w:r>
    </w:p>
    <w:p w14:paraId="53F9BEC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3.1 非处方（OTC）医疗器械</w:t>
      </w:r>
    </w:p>
    <w:p w14:paraId="2F18D054">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以低风险I类器械和部分低风险II类器械为主，可直接向普通个人消费者销售，通过药店、商超、线上零售等公开渠道流通。</w:t>
      </w:r>
    </w:p>
    <w:p w14:paraId="65FCFFE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3.2 处方类医疗器械</w:t>
      </w:r>
    </w:p>
    <w:p w14:paraId="73EF265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覆盖多数II类器械与全部III类器械，不得直接向无医疗资质的普通个人销售，仅可向持牌医疗机构、执业医师、其他具备合法诊疗资质的机构或人员供应；个人消费者须凭执业医师处方方可购买使用。</w:t>
      </w:r>
    </w:p>
    <w:p w14:paraId="65619976">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医疗器械广告与促销合规</w:t>
      </w:r>
    </w:p>
    <w:p w14:paraId="6A99B230">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1. 监管法律体系</w:t>
      </w:r>
    </w:p>
    <w:p w14:paraId="2555CB4F">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美国医疗器械广告与促销实行双机构并行监管：联邦贸易委员会（FTC）依据《联邦贸易委员会法》，对市场流通中的医疗器械广告真实性、商业宣传行为实施竞争执法；美国食品药品监督管理局（FDA）依据《联邦食品、药品和化妆品法》（FDCA），对医疗器械标签及各类促销宣传内容实施专业监管。两类监管要求同步适用，企业须同时满足两类规则。</w:t>
      </w:r>
    </w:p>
    <w:p w14:paraId="67655071">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2. FTC广告监管要求</w:t>
      </w:r>
    </w:p>
    <w:p w14:paraId="34CBE87A">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2.1 广告真实性要求</w:t>
      </w:r>
    </w:p>
    <w:p w14:paraId="0DA2599B">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FTC《健康产品合规指导》明确，医疗器械等健康产品的所有健康功效声明，必须有“合规且可靠的科学证据”作为支撑，不得发布缺乏实证依据的宣传内容。</w:t>
      </w:r>
    </w:p>
    <w:p w14:paraId="28543526">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2.2 代言与利益披露</w:t>
      </w:r>
    </w:p>
    <w:p w14:paraId="4187C23B">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企业通过名人、网红、专业人士等代言人开展产品推广的，依据16 CFR第255部分规定，制造商与代言方之间存在的 “实质性利益关联”，必须以清晰、醒目的方式向公众披露。</w:t>
      </w:r>
    </w:p>
    <w:p w14:paraId="10331998">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2.3 用户评论与评价管理</w:t>
      </w:r>
    </w:p>
    <w:p w14:paraId="13698CA0">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依据16 CFR第465部分规定，企业不得在营销宣传中发布虚假或伪造的用户评价，不得通过购买好评、压制负面评论等方式操纵消费者评价。</w:t>
      </w:r>
    </w:p>
    <w:p w14:paraId="534496A3">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3. FDA标签与促销合规核心规则</w:t>
      </w:r>
    </w:p>
    <w:p w14:paraId="0953D41E">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 xml:space="preserve">    FDA对“标签”采取广义界定，所有与医疗器械相关的书面、电子、口头宣传内容，包括官网、社交媒体、视频、产品包装、现场宣讲等，均纳入标签监管范畴。促销宣传须同时满足四项法定要求。</w:t>
      </w:r>
    </w:p>
    <w:p w14:paraId="6FFD41C3">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3.1 与获批标签保持一致</w:t>
      </w:r>
    </w:p>
    <w:p w14:paraId="61D0BEE3">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所有促销声明必须与器械经FDA许可或批准的预期用途、适应症、使用说明等标签内容完全一致；通过510(k)途径获批的器械，其市场推广也不得超出510 (k)豁免对应的产品范围与使用条件。FDA发布的《与FDA必需标签一致的医疗产品宣传问答指南》（CFL指南）为企业提供了操作指引，明确各类宣传场景的标签合规判定标准。</w:t>
      </w:r>
    </w:p>
    <w:p w14:paraId="2037FDC8">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3.2 具备充分科学实证支撑</w:t>
      </w:r>
    </w:p>
    <w:p w14:paraId="1F0FAA0A">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所有关于器械功效、临床结果、使用效果的促销声明，均须具备科学合理且统计学可靠的证据支持。证据要求强度与声明内容相匹配：仅涉及器械机械、物理性能的声明，可通过台架试验数据支撑；涉及患者长期临床结局的声明，须有足够随访周期的临床数据作为依据。支持性证据形式包括个案报告、同行评议医学期刊发表的对照临床试验等，具体是否充分需结合声明内容个案判定。</w:t>
      </w:r>
    </w:p>
    <w:p w14:paraId="36FB06F1">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3.3 均衡披露使用风险</w:t>
      </w:r>
    </w:p>
    <w:p w14:paraId="57462610">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促销宣传须对器械的使用风险与宣称收益进行均衡呈现，不得只突出获益而弱化风险。根据FDA《处方药和医疗器械促销中的风险信息呈现》指南及相关法规：限制类器械的促销标签须简要列明预期用途、警告、注意事项、副作用与禁忌症；处方器械的促销材料须提供完整使用信息，涵盖相关危害、禁忌、不良反应及防范措施。</w:t>
      </w:r>
    </w:p>
    <w:p w14:paraId="392F1DD6">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3.4 禁止虚假或误导性表述</w:t>
      </w:r>
    </w:p>
    <w:p w14:paraId="5F987567">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依据FDCA第502 (a)条，医疗器械标签不得在任何方面存在虚假或误导性内容。常见的误导情形包括：（1）选择性引用研究数据、隐瞒负面或相反结果；（2）无对照数据即宣称产品优于同类器械；（3）将台架试验、动物实验或体外数据等同于临床结局；（4）夸大产品有效性或淡化使用风险等。FDA明确，仅披露研究局限性或添加免责声明，不足以消除整体宣传内容造成的误导性印象。</w:t>
      </w:r>
    </w:p>
    <w:p w14:paraId="76DCE860">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4. 非推广性科学交流安全港</w:t>
      </w:r>
    </w:p>
    <w:p w14:paraId="5D725BB8">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FDA为非商业推广目的的科学与教育交流设立合规安全港。符合 FDA 指导文件要求的学术交流、科学信息传播，无需完全适用推广标签的全部要求（尤其是适应症范围限制）。适用场景主要包括：（1）回应第三方主动提出的未获批适应症信息咨询；（2）与医保支付方就研究性用途开展沟通；（3）传播未获批用途的前沿科学研究成果等。安全港范围内的交流仍须遵守禁止虚假、误导性表述的基本规则。</w:t>
      </w:r>
    </w:p>
    <w:p w14:paraId="1D69CD32">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反商业贿赂与HCP交往合规</w:t>
      </w:r>
    </w:p>
    <w:p w14:paraId="00C9F1A5">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1. 监管法律体系</w:t>
      </w:r>
    </w:p>
    <w:p w14:paraId="5E47EB5B">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美国针对医疗领域构建了“专门反贿赂立法+强制透明度披露+通用反腐败规则”的三层规制体系，约束医疗器械、耗材及药品企业与医疗保健专业人士（HCP）、医疗机构的商业交往。专门立法层面，《医疗反回扣法》（AKS）直接禁止医疗领域的利益输送与回扣行为；透明度层面，《医师支付阳光法案》（PPSA）建立全行业经济往来公开机制；通用反腐败层面，《反海外腐败法》（FCPA）适用于涉及外国公职人员的医疗商业场景。三类法律并行执法，共同划定医疗商业交往的合规边界。</w:t>
      </w:r>
    </w:p>
    <w:p w14:paraId="081CE68B">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2. 《医疗反回扣法》（AKS）</w:t>
      </w:r>
    </w:p>
    <w:p w14:paraId="57C51153">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《医疗反回扣法》是美国首部医疗领域专门反贿赂立法，编入《美国法典》第42编公共健康与福利卷，是医疗行业反商业贿赂的核心执法依据。</w:t>
      </w:r>
    </w:p>
    <w:p w14:paraId="3E368B26">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2.1 禁止行为范围</w:t>
      </w:r>
    </w:p>
    <w:p w14:paraId="4D84FD28">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该法禁止任何主体明知且故意地直接或间接、公开或隐蔽地提供、支付、索取或收受任何形式的报酬，以诱使对方实施三类行为：一是向联邦医保覆盖的患者推荐特定供应商的产品或服务；二是采购、指定或使用特定医疗项目、产品或服务；三是安排、推荐或转介患者接受特定医疗产品或服务。</w:t>
      </w:r>
    </w:p>
    <w:p w14:paraId="01F0C4E5">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“报酬”采取宽泛认定标准，不限于现金，还包括咨询费、演讲酬金、研究资助、礼品、差旅招待、设备赞助、就业机会等任何具有经济价值的利益。通过第三方中介支付的变相回扣，同样纳入规制范围。</w:t>
      </w:r>
    </w:p>
    <w:p w14:paraId="0CBE451C">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2.2 法律责任</w:t>
      </w:r>
    </w:p>
    <w:p w14:paraId="7A6DF453">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违反AKS属于重罪，个人可单处或并处最高5年监禁、2.5万美元罚金；企业可被处以更高额罚金，同时违法主体将被排除出所有联邦医疗保障计划。</w:t>
      </w:r>
    </w:p>
    <w:p w14:paraId="67430AFA">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3. 《医师支付阳光法案》（PPSA）</w:t>
      </w:r>
    </w:p>
    <w:p w14:paraId="12090D0A">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《医师支付阳光法案》作为《患者保护与平价医疗法案》的组成部分，于2010年通过，2013年启动数据采集，2014年首次向公众开放数据，核心机制是通过强制披露实现利益冲突公开。</w:t>
      </w:r>
    </w:p>
    <w:p w14:paraId="0045E18C">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3.1 适用主体与覆盖范围</w:t>
      </w:r>
    </w:p>
    <w:p w14:paraId="13EA7215">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该法适用于所有药品、医疗器械、生物制品、医用耗材的制造商，只要其产品纳入Medicare（联邦老年医保）、Medicaid（联邦低收入医保）、SCHIP（联邦儿童医保）三大公共医保支付范围。覆盖所有与执业医师、教学医院发生的经济往来。</w:t>
      </w:r>
    </w:p>
    <w:p w14:paraId="24274847">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3.2 报告规则</w:t>
      </w:r>
    </w:p>
    <w:p w14:paraId="120C99ED">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企业承担全部报告义务，医师与医疗机构无主动申报责任。报告阈值分为两类：单笔价值转移超过10美元的，须逐笔申报；单笔低于10美元但年度累计总额超过100美元的，也须汇总申报。报告内容涵盖咨询费、演讲费、研究资助、礼品、差旅招待、设备捐赠等各类经济利益转移。</w:t>
      </w:r>
    </w:p>
    <w:p w14:paraId="0879E5C1">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3.3 公开机制</w:t>
      </w:r>
    </w:p>
    <w:p w14:paraId="476FC99F">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所有申报数据由联邦医疗保险与医疗补助服务中心（CMS）统一纳入“开放支付（Open Payments）”数据库，向全社会公开，任何公众均可查询企业与特定医师、医院的财务关联。数据正式公开前，相关医师与医疗机构可对数据提出异议并申请更正。</w:t>
      </w:r>
    </w:p>
    <w:p w14:paraId="2696AE8E">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4. 《反海外腐败法》（FCPA）</w:t>
      </w:r>
    </w:p>
    <w:p w14:paraId="27DFCB5A">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反海外腐败法》禁止企业为获取商业利益向外国公职人员行贿。对于在美经营的医疗器械企业，若交易涉及外国公立医疗机构的医务人员、采购人员等具有公职身份的主体，相关利益输送行为可能触发FCPA合规风险。</w:t>
      </w:r>
    </w:p>
    <w:p w14:paraId="7EF1C23D">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上市后警戒与产品责任</w:t>
      </w:r>
    </w:p>
    <w:p w14:paraId="701FB6D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美国医疗器械监管采用“上市前准入许可+上市后持续管控”的全周期治理模式，产品获批上市后仍受《联邦食品、药品和化妆品法》（FDCA）、21 CFR的严格约束，同时面临联邦行政执法与州级民事索赔的双重合规压力，形成行政监管、民事赔偿、刑事追责三维并行的责任体系。</w:t>
      </w:r>
    </w:p>
    <w:p w14:paraId="0BB65437">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w:t>
      </w:r>
      <w:r>
        <w:rPr>
          <w:rFonts w:hint="eastAsia" w:ascii="Times New Roman" w:hAnsi="Times New Roman"/>
          <w:b/>
          <w:bCs/>
          <w:sz w:val="28"/>
          <w:szCs w:val="28"/>
        </w:rPr>
        <w:tab/>
      </w:r>
      <w:r>
        <w:rPr>
          <w:rFonts w:hint="eastAsia" w:ascii="Times New Roman" w:hAnsi="Times New Roman"/>
          <w:b/>
          <w:bCs/>
          <w:sz w:val="28"/>
          <w:szCs w:val="28"/>
        </w:rPr>
        <w:t>上市后持续合规义务</w:t>
      </w:r>
    </w:p>
    <w:p w14:paraId="6CC96A11">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1.1</w:t>
      </w:r>
      <w:r>
        <w:rPr>
          <w:rFonts w:hint="eastAsia" w:ascii="Times New Roman" w:hAnsi="Times New Roman"/>
          <w:sz w:val="28"/>
          <w:szCs w:val="28"/>
        </w:rPr>
        <w:tab/>
      </w:r>
      <w:r>
        <w:rPr>
          <w:rFonts w:hint="eastAsia" w:ascii="Times New Roman" w:hAnsi="Times New Roman"/>
          <w:sz w:val="28"/>
          <w:szCs w:val="28"/>
        </w:rPr>
        <w:t>日常投诉管理与内部核查</w:t>
      </w:r>
    </w:p>
    <w:p w14:paraId="05F6EED6">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所有医疗器械持证人均须建立覆盖全渠道的投诉接收、评估与核查机制，针对涉及产品质量、可靠性、安全性、有效性、性能表现等各维度的反馈，逐一开展内部调查；仅当同一型号产品的同类问题已完成过完整调查的，可免于重复核查。全部投诉档案、调查过程与结论均需按规定期限留存，随时接受FDA的现场检查与文件调阅。</w:t>
      </w:r>
    </w:p>
    <w:p w14:paraId="6D354781">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1.2</w:t>
      </w:r>
      <w:r>
        <w:rPr>
          <w:rFonts w:hint="eastAsia" w:ascii="Times New Roman" w:hAnsi="Times New Roman"/>
          <w:sz w:val="28"/>
          <w:szCs w:val="28"/>
        </w:rPr>
        <w:tab/>
      </w:r>
      <w:r>
        <w:rPr>
          <w:rFonts w:hint="eastAsia" w:ascii="Times New Roman" w:hAnsi="Times New Roman"/>
          <w:sz w:val="28"/>
          <w:szCs w:val="28"/>
        </w:rPr>
        <w:t>不良事件强制报告制度</w:t>
      </w:r>
    </w:p>
    <w:p w14:paraId="30050FC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21 CFR第 803部分确立了医疗器械报告（MDR）制度，明确三类主体的报告义务：制造商与进口商需就死亡、严重伤害及高风险故障事件向FDA提交报告；医疗机构等使用单位同样负有法定上报责任；境内次级分销商不承担独立报告义务。</w:t>
      </w:r>
    </w:p>
    <w:p w14:paraId="4D3C3A10">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触发法定报告的情形包括两类：（1）器械实际导致或可能促成死亡或严重伤害事件；（2）器械发生功能失效，若同类故障重复发生存在造成死亡或严重伤害的可能性。其中 “严重伤害”指危及生命、造成身体机能或结构永久性损伤，或需要借助医疗/手术干预才能避免永久损害的事件；即便事件由用户操作不当诱发，报告义务也不免除。 </w:t>
      </w:r>
    </w:p>
    <w:p w14:paraId="1A8C44B1">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报告需通过FDA 3500A表单电子提交。常规可报告事件（死亡、严重伤害、可报告故障）的报告时限为30日；若事件需要采取补救措施以防止对公众健康造成重大伤害的不合理风险，或FDA书面要求的，须在5个工作日内提交报告。事发初期信息不全的，可先提交初版报告，并在补充信息齐备后30日内完成补报。所有上报数据统一纳入FDA制造商与用户机构器械体验数据库（MAUDE），向公众开放检索。</w:t>
      </w:r>
    </w:p>
    <w:p w14:paraId="1233FBB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1.3</w:t>
      </w:r>
      <w:r>
        <w:rPr>
          <w:rFonts w:hint="eastAsia" w:ascii="Times New Roman" w:hAnsi="Times New Roman"/>
          <w:sz w:val="28"/>
          <w:szCs w:val="28"/>
        </w:rPr>
        <w:tab/>
      </w:r>
      <w:r>
        <w:rPr>
          <w:rFonts w:hint="eastAsia" w:ascii="Times New Roman" w:hAnsi="Times New Roman"/>
          <w:sz w:val="28"/>
          <w:szCs w:val="28"/>
        </w:rPr>
        <w:t>缺陷产品召回与现场纠正</w:t>
      </w:r>
    </w:p>
    <w:p w14:paraId="6F4C64E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针对已上市产品存在的安全隐患或性能缺陷，企业采取的就地维修、参数校准、标签更新、使用核查、现场销毁等处置措施，以及将产品转移至异地开展整改的行动，均受21 CFR 第806部分约束，统一适用召回监管规则。 </w:t>
      </w:r>
    </w:p>
    <w:p w14:paraId="60C818C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企业自主启动纠正或移除行动以化解健康风险、纠正FDCA违规情形的，需在召回启动日（企业内部最终作出召回决策的日期）起10个召回日内，向属地FDA检查与调查办公室（OII）召回协调员提交Part 806报告，内容涵盖缺陷事件概况、相关伤害情况、生产与分销体量、全部受影响主体的联络方式等。建议企业在对外发布召回通知前，先将文稿提交FDA预审。 </w:t>
      </w:r>
    </w:p>
    <w:p w14:paraId="776B9E46">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FDA按健康风险程度将召回划分为三级：Ⅰ级风险最高，可能导致严重健康损害甚至死亡；Ⅱ级为一般风险；Ⅲ级风险最低。Ⅰ级召回通常同步发布《安全通讯》，存在潜在高危风险的可在正式分级前发布《早期警报》。全部召回信息均纳入FDA医疗器械召回公开数据库，企业需按要求定期报送通知送达率、整改进度、已处置产品数量等进展数据。</w:t>
      </w:r>
    </w:p>
    <w:p w14:paraId="76A3D9AA">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FDA 执法体系与违规后果</w:t>
      </w:r>
    </w:p>
    <w:p w14:paraId="06E240E1">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2.1</w:t>
      </w:r>
      <w:r>
        <w:rPr>
          <w:rFonts w:hint="eastAsia" w:ascii="Times New Roman" w:hAnsi="Times New Roman"/>
          <w:sz w:val="28"/>
          <w:szCs w:val="28"/>
        </w:rPr>
        <w:tab/>
      </w:r>
      <w:r>
        <w:rPr>
          <w:rFonts w:hint="eastAsia" w:ascii="Times New Roman" w:hAnsi="Times New Roman"/>
          <w:sz w:val="28"/>
          <w:szCs w:val="28"/>
        </w:rPr>
        <w:t>核心违规行为范畴</w:t>
      </w:r>
    </w:p>
    <w:p w14:paraId="30DF9D6E">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FDCA将上市后违规行为分为三大类：（1）产品质量类（掺假）：包括产品受污染、未按医疗器械质量体系法规（QMSR，即美国医疗器械GMP）组织生产、不符合性能标准、未取得或不遵守上市许可条款、拒绝或阻碍FDA生产设施检查等；（2）标识信息类（错标）：包括标签虚假误导、法定信息缺失、使用说明不充分、应取得510 (k)许可而未取得、生产设施未注册或产品未列名、未按要求提交MDR或召回报告等；（3）程序义务类：包括不遵守GMP要求、不履行设施注册义务、拒不配合监管检查、不提交法定报告、未维持上市许可有效性等。</w:t>
      </w:r>
    </w:p>
    <w:p w14:paraId="0DA74674">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2.2</w:t>
      </w:r>
      <w:r>
        <w:rPr>
          <w:rFonts w:hint="eastAsia" w:ascii="Times New Roman" w:hAnsi="Times New Roman"/>
          <w:sz w:val="28"/>
          <w:szCs w:val="28"/>
        </w:rPr>
        <w:tab/>
      </w:r>
      <w:r>
        <w:rPr>
          <w:rFonts w:hint="eastAsia" w:ascii="Times New Roman" w:hAnsi="Times New Roman"/>
          <w:sz w:val="28"/>
          <w:szCs w:val="28"/>
        </w:rPr>
        <w:t>梯度化执法措施</w:t>
      </w:r>
    </w:p>
    <w:p w14:paraId="65467A2C">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FDA根据违规情节与公共卫生风险匹配处置强度，从轻到重依次为：</w:t>
      </w:r>
    </w:p>
    <w:p w14:paraId="5BC9E65D">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2.2.1</w:t>
      </w:r>
      <w:r>
        <w:rPr>
          <w:rFonts w:hint="eastAsia" w:ascii="Times New Roman" w:hAnsi="Times New Roman"/>
          <w:sz w:val="28"/>
          <w:szCs w:val="28"/>
        </w:rPr>
        <w:tab/>
      </w:r>
      <w:r>
        <w:rPr>
          <w:rFonts w:hint="eastAsia" w:ascii="Times New Roman" w:hAnsi="Times New Roman"/>
          <w:sz w:val="28"/>
          <w:szCs w:val="28"/>
        </w:rPr>
        <w:t>非正式行政提示</w:t>
      </w:r>
    </w:p>
    <w:p w14:paraId="6B976BB4">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情节轻微的违规，FDA可出具无标题信函或《我们已注意到》（IHCTOA）函，给予约30日的整改反馈期，此类函件通常不对外公开；逾期未回复或整改不到位的，升级为正式执法程序。</w:t>
      </w:r>
    </w:p>
    <w:p w14:paraId="2B0BC424">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2.2.2</w:t>
      </w:r>
      <w:r>
        <w:rPr>
          <w:rFonts w:hint="eastAsia" w:ascii="Times New Roman" w:hAnsi="Times New Roman"/>
          <w:sz w:val="28"/>
          <w:szCs w:val="28"/>
        </w:rPr>
        <w:tab/>
      </w:r>
      <w:r>
        <w:rPr>
          <w:rFonts w:hint="eastAsia" w:ascii="Times New Roman" w:hAnsi="Times New Roman"/>
          <w:sz w:val="28"/>
          <w:szCs w:val="28"/>
        </w:rPr>
        <w:t>正式警告信</w:t>
      </w:r>
    </w:p>
    <w:p w14:paraId="7D70545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针对具备监管典型性、企业可自主纠正的违规，FDA签发正式警告信，载明违规事实与整改要求。企业需在收函后15个日内提交书面整改方案，并定期反馈整改进展直至全部闭环，相关函件将在FDA官方平台对外公示。对反复违规的生产场所可出具累犯警告信，要求企业委托第三方机构开展年度质量体系审计，连续3年提交审计报告。</w:t>
      </w:r>
    </w:p>
    <w:p w14:paraId="5960A7C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2.2.3</w:t>
      </w:r>
      <w:r>
        <w:rPr>
          <w:rFonts w:hint="eastAsia" w:ascii="Times New Roman" w:hAnsi="Times New Roman"/>
          <w:sz w:val="28"/>
          <w:szCs w:val="28"/>
        </w:rPr>
        <w:tab/>
      </w:r>
      <w:r>
        <w:rPr>
          <w:rFonts w:hint="eastAsia" w:ascii="Times New Roman" w:hAnsi="Times New Roman"/>
          <w:sz w:val="28"/>
          <w:szCs w:val="28"/>
        </w:rPr>
        <w:t>公共安全警示</w:t>
      </w:r>
    </w:p>
    <w:p w14:paraId="6C128324">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存在重大公共卫生风险时，FDA可直接发布公共安全通报、致医疗从业者公开信或消费者警示，无需提前与企业沟通。</w:t>
      </w:r>
    </w:p>
    <w:p w14:paraId="1D3DFF35">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2.2.4</w:t>
      </w:r>
      <w:r>
        <w:rPr>
          <w:rFonts w:hint="eastAsia" w:ascii="Times New Roman" w:hAnsi="Times New Roman"/>
          <w:sz w:val="28"/>
          <w:szCs w:val="28"/>
        </w:rPr>
        <w:tab/>
      </w:r>
      <w:r>
        <w:rPr>
          <w:rFonts w:hint="eastAsia" w:ascii="Times New Roman" w:hAnsi="Times New Roman"/>
          <w:sz w:val="28"/>
          <w:szCs w:val="28"/>
        </w:rPr>
        <w:t>行政制裁</w:t>
      </w:r>
    </w:p>
    <w:p w14:paraId="6E7442E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包括停止分销令、强制召回令、修理更换退款令等。FDA可在行政听证后对违规行为处以民事罚款，现行标准为每件违规器械最高31,076 美元，单次程序最高2,071,819 美元，金额随通胀定期调整。</w:t>
      </w:r>
    </w:p>
    <w:p w14:paraId="7D38AAE1">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2.2.5</w:t>
      </w:r>
      <w:r>
        <w:rPr>
          <w:rFonts w:hint="eastAsia" w:ascii="Times New Roman" w:hAnsi="Times New Roman"/>
          <w:sz w:val="28"/>
          <w:szCs w:val="28"/>
        </w:rPr>
        <w:tab/>
      </w:r>
      <w:r>
        <w:rPr>
          <w:rFonts w:hint="eastAsia" w:ascii="Times New Roman" w:hAnsi="Times New Roman"/>
          <w:sz w:val="28"/>
          <w:szCs w:val="28"/>
        </w:rPr>
        <w:t>司法强制措施</w:t>
      </w:r>
    </w:p>
    <w:p w14:paraId="020074D9">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行政手段无效或公共卫生风险极高时，FDA会同司法部启动司法程序：申请法院发布禁令，禁止企业继续生产或分销违规产品，企业可协商签署同意令；对存在严重健康风险的掺假、错标产品，请求法院予以扣押；对存在故意欺诈、误导或累犯情节的，提起刑事诉讼，追究企业与相关责任人的刑事责任。</w:t>
      </w:r>
    </w:p>
    <w:p w14:paraId="668F6D17">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3.</w:t>
      </w:r>
      <w:r>
        <w:rPr>
          <w:rFonts w:hint="eastAsia" w:ascii="Times New Roman" w:hAnsi="Times New Roman"/>
          <w:b/>
          <w:bCs/>
          <w:sz w:val="28"/>
          <w:szCs w:val="28"/>
        </w:rPr>
        <w:tab/>
      </w:r>
      <w:r>
        <w:rPr>
          <w:rFonts w:hint="eastAsia" w:ascii="Times New Roman" w:hAnsi="Times New Roman"/>
          <w:b/>
          <w:bCs/>
          <w:sz w:val="28"/>
          <w:szCs w:val="28"/>
        </w:rPr>
        <w:t>民事产品责任风险</w:t>
      </w:r>
    </w:p>
    <w:p w14:paraId="2758F76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3.1</w:t>
      </w:r>
      <w:r>
        <w:rPr>
          <w:rFonts w:hint="eastAsia" w:ascii="Times New Roman" w:hAnsi="Times New Roman"/>
          <w:sz w:val="28"/>
          <w:szCs w:val="28"/>
        </w:rPr>
        <w:tab/>
      </w:r>
      <w:r>
        <w:rPr>
          <w:rFonts w:hint="eastAsia" w:ascii="Times New Roman" w:hAnsi="Times New Roman"/>
          <w:sz w:val="28"/>
          <w:szCs w:val="28"/>
        </w:rPr>
        <w:t>主要责任主张基础</w:t>
      </w:r>
    </w:p>
    <w:p w14:paraId="1B18186A">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美国各州产品责任法适用于医疗器械致害纠纷，原告可通过多重法律基础主张权利。</w:t>
      </w:r>
    </w:p>
    <w:p w14:paraId="066D66DD">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3.1.1</w:t>
      </w:r>
      <w:r>
        <w:rPr>
          <w:rFonts w:hint="eastAsia" w:ascii="Times New Roman" w:hAnsi="Times New Roman"/>
          <w:sz w:val="28"/>
          <w:szCs w:val="28"/>
        </w:rPr>
        <w:tab/>
      </w:r>
      <w:r>
        <w:rPr>
          <w:rFonts w:hint="eastAsia" w:ascii="Times New Roman" w:hAnsi="Times New Roman"/>
          <w:sz w:val="28"/>
          <w:szCs w:val="28"/>
        </w:rPr>
        <w:t>严格产品责任</w:t>
      </w:r>
    </w:p>
    <w:p w14:paraId="2E0FE349">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为产品责任领域的核心归责原则，原告无需证明制造商存在过错，只需证明产品存在缺陷且缺陷与损害存在因果关系。缺陷包括三类：（1）设计缺陷：即产品设计存在可预见的伤害风险，可通过合理替代设计予以降低；（2）制造缺陷：即产品偏离自身设计规范与质量标准；（3）警示缺陷：即未提供充分的操作指引与风险提示，导致使用风险升高。</w:t>
      </w:r>
    </w:p>
    <w:p w14:paraId="328F276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3.1.2</w:t>
      </w:r>
      <w:r>
        <w:rPr>
          <w:rFonts w:hint="eastAsia" w:ascii="Times New Roman" w:hAnsi="Times New Roman"/>
          <w:sz w:val="28"/>
          <w:szCs w:val="28"/>
        </w:rPr>
        <w:tab/>
      </w:r>
      <w:r>
        <w:rPr>
          <w:rFonts w:hint="eastAsia" w:ascii="Times New Roman" w:hAnsi="Times New Roman"/>
          <w:sz w:val="28"/>
          <w:szCs w:val="28"/>
        </w:rPr>
        <w:t>过失责任</w:t>
      </w:r>
    </w:p>
    <w:p w14:paraId="38E8A4D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原告需证明制造商负有合理注意义务、义务被违反、且违反行为与损害存在因果关系，注意义务适用“合理谨慎人”标准。</w:t>
      </w:r>
    </w:p>
    <w:p w14:paraId="5008ABF0">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3.1.3</w:t>
      </w:r>
      <w:r>
        <w:rPr>
          <w:rFonts w:hint="eastAsia" w:ascii="Times New Roman" w:hAnsi="Times New Roman"/>
          <w:sz w:val="28"/>
          <w:szCs w:val="28"/>
        </w:rPr>
        <w:tab/>
      </w:r>
      <w:r>
        <w:rPr>
          <w:rFonts w:hint="eastAsia" w:ascii="Times New Roman" w:hAnsi="Times New Roman"/>
          <w:sz w:val="28"/>
          <w:szCs w:val="28"/>
        </w:rPr>
        <w:t>违反担保责任</w:t>
      </w:r>
    </w:p>
    <w:p w14:paraId="77B8FC3D">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包括明示担保（针对产品质量、性能的肯定性陈述）与默示担保（商销性、特定用途适用性），属于合同类诉因。</w:t>
      </w:r>
    </w:p>
    <w:p w14:paraId="0EB19923">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3.1.4</w:t>
      </w:r>
      <w:r>
        <w:rPr>
          <w:rFonts w:hint="eastAsia" w:ascii="Times New Roman" w:hAnsi="Times New Roman"/>
          <w:sz w:val="28"/>
          <w:szCs w:val="28"/>
        </w:rPr>
        <w:tab/>
      </w:r>
      <w:r>
        <w:rPr>
          <w:rFonts w:hint="eastAsia" w:ascii="Times New Roman" w:hAnsi="Times New Roman"/>
          <w:sz w:val="28"/>
          <w:szCs w:val="28"/>
        </w:rPr>
        <w:t>消费者保护法定责任</w:t>
      </w:r>
    </w:p>
    <w:p w14:paraId="4E4C999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各州消费者保护立法禁止商业虚假陈述与欺骗性行为，原告可主张误导性标签、宣传构成违法。</w:t>
      </w:r>
    </w:p>
    <w:p w14:paraId="6BAE54A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3.2</w:t>
      </w:r>
      <w:r>
        <w:rPr>
          <w:rFonts w:hint="eastAsia" w:ascii="Times New Roman" w:hAnsi="Times New Roman"/>
          <w:sz w:val="28"/>
          <w:szCs w:val="28"/>
        </w:rPr>
        <w:tab/>
      </w:r>
      <w:r>
        <w:rPr>
          <w:rFonts w:hint="eastAsia" w:ascii="Times New Roman" w:hAnsi="Times New Roman"/>
          <w:sz w:val="28"/>
          <w:szCs w:val="28"/>
        </w:rPr>
        <w:t>争议解决路径</w:t>
      </w:r>
    </w:p>
    <w:p w14:paraId="19F2A074">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产品责任诉讼管辖规则较为复杂，根据案件性质分属联邦法院或州法院，管辖连接点包括侵权行为地、当事人住所地、涉诉法律层级等。赔偿标准因州而异，部分案件中胜诉方的合理律师费由败诉方承担。涉及误导性标签等群体性共性问题的，可提起集体诉讼。当事人也可选择调解、仲裁等替代性争议解决（ADR）方式，部分采购与合作合同中约定有强制仲裁条款。</w:t>
      </w:r>
    </w:p>
    <w:p w14:paraId="0C023984">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3.3</w:t>
      </w:r>
      <w:r>
        <w:rPr>
          <w:rFonts w:hint="eastAsia" w:ascii="Times New Roman" w:hAnsi="Times New Roman"/>
          <w:sz w:val="28"/>
          <w:szCs w:val="28"/>
        </w:rPr>
        <w:tab/>
      </w:r>
      <w:r>
        <w:rPr>
          <w:rFonts w:hint="eastAsia" w:ascii="Times New Roman" w:hAnsi="Times New Roman"/>
          <w:sz w:val="28"/>
          <w:szCs w:val="28"/>
        </w:rPr>
        <w:t>责任聚合效应</w:t>
      </w:r>
    </w:p>
    <w:p w14:paraId="198D8029">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同一产品安全问题可能同时触发多维度责任：FDA可启动行政执法甚至司法程序，受害方可提起民事赔偿诉讼，检察机关可就严重违法情形追究刑事责任，形成责任聚合。</w:t>
      </w:r>
    </w:p>
    <w:p w14:paraId="1BB59E84">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数据合规和隐私保护</w:t>
      </w:r>
    </w:p>
    <w:p w14:paraId="19CF6594">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美国针对医疗器械的数据治理实行“产品网络安全准入监管+医疗信息隐私专项规制+消费者权益执法” 的多层监管架构。FDA作为医疗器械主管部门，将网络安全与数据安全要求贯穿产品全生命周期；健康数据隐私同时受联邦专门立法与消费者保护规则约束，企业需同步满足产品端安全与数据端合规的双重要求。</w:t>
      </w:r>
    </w:p>
    <w:p w14:paraId="4478A845">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w:t>
      </w:r>
      <w:r>
        <w:rPr>
          <w:rFonts w:hint="eastAsia" w:ascii="Times New Roman" w:hAnsi="Times New Roman"/>
          <w:b/>
          <w:bCs/>
          <w:sz w:val="28"/>
          <w:szCs w:val="28"/>
        </w:rPr>
        <w:tab/>
      </w:r>
      <w:r>
        <w:rPr>
          <w:rFonts w:hint="eastAsia" w:ascii="Times New Roman" w:hAnsi="Times New Roman"/>
          <w:b/>
          <w:bCs/>
          <w:sz w:val="28"/>
          <w:szCs w:val="28"/>
        </w:rPr>
        <w:t>FDA医疗器械网络安全全生命周期监管</w:t>
      </w:r>
    </w:p>
    <w:p w14:paraId="63DC402C">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1.1</w:t>
      </w:r>
      <w:r>
        <w:rPr>
          <w:rFonts w:hint="eastAsia" w:ascii="Times New Roman" w:hAnsi="Times New Roman"/>
          <w:sz w:val="28"/>
          <w:szCs w:val="28"/>
        </w:rPr>
        <w:tab/>
      </w:r>
      <w:r>
        <w:rPr>
          <w:rFonts w:hint="eastAsia" w:ascii="Times New Roman" w:hAnsi="Times New Roman"/>
          <w:sz w:val="28"/>
          <w:szCs w:val="28"/>
        </w:rPr>
        <w:t>监管规则体系</w:t>
      </w:r>
    </w:p>
    <w:p w14:paraId="1396C169">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随着医疗器械数字化、联网化程度持续提升，FDA逐步建立并迭代网络安全监管标准，先后于2014年发布医疗器械网络安全专项终版指南，2018年、2022年发布更新草案，并于2023年发布正式更新版本，明确网络安全管理如何对接医疗器械质量体系（QSR）框架。《2023年综合拨款法》第3305节进一步强化法定约束，明确部分联网医疗器械申报上市时，必须提交独立的网络安全计划。</w:t>
      </w:r>
    </w:p>
    <w:p w14:paraId="1986A26D">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FDA对网络安全设定双重监管目标：一是保障患者健康信息的保密性、完整性与可用性；二是防范网络攻击导致器械功能异常，进而危及患者人身安全。相关要求覆盖产品设计、上市审批、上市后运维全流程。</w:t>
      </w:r>
    </w:p>
    <w:p w14:paraId="5D11FBCC">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1.2</w:t>
      </w:r>
      <w:r>
        <w:rPr>
          <w:rFonts w:hint="eastAsia" w:ascii="Times New Roman" w:hAnsi="Times New Roman"/>
          <w:sz w:val="28"/>
          <w:szCs w:val="28"/>
        </w:rPr>
        <w:tab/>
      </w:r>
      <w:r>
        <w:rPr>
          <w:rFonts w:hint="eastAsia" w:ascii="Times New Roman" w:hAnsi="Times New Roman"/>
          <w:sz w:val="28"/>
          <w:szCs w:val="28"/>
        </w:rPr>
        <w:t>上市前准入要求</w:t>
      </w:r>
    </w:p>
    <w:p w14:paraId="15F5B6E6">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医疗器械上市申报环节（含510 (k)、PMA等注册路径），申请人须同步提交完整的网络安全支撑材料，核心内容包括：产品全生命周期的威胁风险评估报告；已部署的安全控制措施说明；发生未经授权访问、数据泄露或网络攻击后的应急响应机制等。</w:t>
      </w:r>
    </w:p>
    <w:p w14:paraId="0E765DB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产品设计阶段即要求嵌入全维度安全防护能力，具体技术要求包括：用户身份认证与分级权限管理等访问控制机制；静态存储与传输链路全流程数据加密；操作行为日志记录与审计追踪；会话自动超时注销；恶意代码防护与漏洞修复机制等。若网络安全相关申报材料不充分，可能在受理/审查阶段被拒收或要求补充，具体以申报类型和拒绝受理（RTA）政策为准。</w:t>
      </w:r>
    </w:p>
    <w:p w14:paraId="6DF5E5E2">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1.3</w:t>
      </w:r>
      <w:r>
        <w:rPr>
          <w:rFonts w:hint="eastAsia" w:ascii="Times New Roman" w:hAnsi="Times New Roman"/>
          <w:sz w:val="28"/>
          <w:szCs w:val="28"/>
        </w:rPr>
        <w:tab/>
      </w:r>
      <w:r>
        <w:rPr>
          <w:rFonts w:hint="eastAsia" w:ascii="Times New Roman" w:hAnsi="Times New Roman"/>
          <w:sz w:val="28"/>
          <w:szCs w:val="28"/>
        </w:rPr>
        <w:t>上市后持续合规义务</w:t>
      </w:r>
    </w:p>
    <w:p w14:paraId="0D80F5FB">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产品获批上市后，制造商须持续监控产品网络安全状态：发现新的安全漏洞或发生网络安全事件时，须及时告知受影响用户并采取补救措施；风险等级较高的情形，需发布公开安全通讯，必要时启动产品召回程序。</w:t>
      </w:r>
    </w:p>
    <w:p w14:paraId="276960CC">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FDA对上市后产品的网络安全状况开展持续监督，企业须建立漏洞响应与事件处置的常态化机制，留存完整的处置记录以备监管核查。</w:t>
      </w:r>
    </w:p>
    <w:p w14:paraId="10B337F2">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医疗数据隐私合规规则</w:t>
      </w:r>
    </w:p>
    <w:p w14:paraId="4675FD7B">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2.1</w:t>
      </w:r>
      <w:r>
        <w:rPr>
          <w:rFonts w:hint="eastAsia" w:ascii="Times New Roman" w:hAnsi="Times New Roman"/>
          <w:sz w:val="28"/>
          <w:szCs w:val="28"/>
        </w:rPr>
        <w:tab/>
      </w:r>
      <w:r>
        <w:rPr>
          <w:rFonts w:hint="eastAsia" w:ascii="Times New Roman" w:hAnsi="Times New Roman"/>
          <w:sz w:val="28"/>
          <w:szCs w:val="28"/>
        </w:rPr>
        <w:t>《健康保险流通与责任法案》（HIPAA）框架下的健康信息保护</w:t>
      </w:r>
    </w:p>
    <w:p w14:paraId="378A24DC">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若医疗器械应用于医疗机构场景，所产生、传输、存储的个人健康信息（PHI）受《健康保险流通与责任法案》（HIPAA）约束。器械制造商若为医疗机构提供数据处理、运维支持等服务，且其服务构成代表医疗机构处理PHI，则属于HIPAA 定义的“业务伙伴”，须签署业务伙伴协议（BAA），并按照HIPAA隐私规则与安全规则的要求，采取相应的行政、物理、技术保障措施，确保个人健康信息安全。</w:t>
      </w:r>
    </w:p>
    <w:p w14:paraId="49B4E935">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2.2</w:t>
      </w:r>
      <w:r>
        <w:rPr>
          <w:rFonts w:hint="eastAsia" w:ascii="Times New Roman" w:hAnsi="Times New Roman"/>
          <w:sz w:val="28"/>
          <w:szCs w:val="28"/>
        </w:rPr>
        <w:tab/>
      </w:r>
      <w:r>
        <w:rPr>
          <w:rFonts w:hint="eastAsia" w:ascii="Times New Roman" w:hAnsi="Times New Roman"/>
          <w:sz w:val="28"/>
          <w:szCs w:val="28"/>
        </w:rPr>
        <w:t>消费级医疗数据的监管要求</w:t>
      </w:r>
    </w:p>
    <w:p w14:paraId="3C637590">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面向消费者的医疗器械及配套移动应用直接收集个人健康数据、不适用HIPAA的，由联邦贸易委员会（FTC）依据《联邦贸易委员会法》实施消费者隐私监管。核心要求包括：不得作出虚假或误导性的隐私承诺；对个人敏感健康信息须采取与其风险相匹配的合理安全保护措施；违规企业可被处以民事罚款并责令整改。</w:t>
      </w:r>
    </w:p>
    <w:p w14:paraId="4B942F22">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此外，加州《加州消费者隐私法案》（CCPA）及其修订法案《加州隐私权法案》（CPRA）等州级隐私立法，也对在对应州运营的医疗器械企业的数据处理行为具有约束力，CPRA 在CCPA基础上新增敏感个人信息管控、数据最小化等义务，进一步强化对医疗相关个人数据的监管要求。</w:t>
      </w:r>
    </w:p>
    <w:p w14:paraId="218EE747">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贸易救济与调查</w:t>
      </w:r>
    </w:p>
    <w:p w14:paraId="6406CAA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美国构建了“关税管制+不公平贸易救济+专项领域管制” 的多层贸易监管体系，医疗器械出口除满足FDA等产品准入规则外，还需应对各类贸易调查与管制措施。</w:t>
      </w:r>
    </w:p>
    <w:p w14:paraId="73995F80">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w:t>
      </w:r>
      <w:r>
        <w:rPr>
          <w:rFonts w:hint="eastAsia" w:ascii="Times New Roman" w:hAnsi="Times New Roman"/>
          <w:b/>
          <w:bCs/>
          <w:sz w:val="28"/>
          <w:szCs w:val="28"/>
        </w:rPr>
        <w:tab/>
      </w:r>
      <w:r>
        <w:rPr>
          <w:rFonts w:hint="eastAsia" w:ascii="Times New Roman" w:hAnsi="Times New Roman"/>
          <w:b/>
          <w:bCs/>
          <w:sz w:val="28"/>
          <w:szCs w:val="28"/>
        </w:rPr>
        <w:t>关税壁垒</w:t>
      </w:r>
    </w:p>
    <w:p w14:paraId="5DF1B4D9">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美国依托多部贸易立法建立目标分化的关税管制工具，可基于国家安全、不公平贸易政策、国内产业保护等不同政策目标启动专项调查，对进口产品加征关税或实施数量限制，直接影响医疗器械的出口成本与市场准入稳定性。</w:t>
      </w:r>
    </w:p>
    <w:p w14:paraId="1CB3D2B5">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1.1 232调查</w:t>
      </w:r>
    </w:p>
    <w:p w14:paraId="39A7367B">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该调查依据《1962年贸易扩展法》第232条设立，由美国商务部牵头开展事实核查与风险评估，最终由总统决定是否采取加征关税、设定进口配额、限制特定商品入境等管制措施。调查核心是判定特定品类进口商品是否对美国国家安全构成威胁，由于以国家安全为判定基准，司法机关对行政部门的决策高度尊重，企业通过司法途径推翻结论的难度较高。 </w:t>
      </w:r>
    </w:p>
    <w:p w14:paraId="5EE1E685">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美国商务部开展国家安全事实调查并向总统提交报告的法定期限最长为270日，总统收到报告后90日内决定措施，特定品类可走加速流程。</w:t>
      </w:r>
    </w:p>
    <w:p w14:paraId="1B55745B">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232调查的适用品类不再局限于钢铁、铝等传统基础工业品。2025年起，232调查已覆盖半导体、药品、医疗设备、个人防护装备（PPE）、医疗耗材、关键矿产等品类。医疗器械出口企业应按“最终产品+零部件+原材料”分别评估232调查的相关风险。</w:t>
      </w:r>
    </w:p>
    <w:p w14:paraId="385D7A16">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1.2</w:t>
      </w:r>
      <w:r>
        <w:rPr>
          <w:rFonts w:hint="eastAsia" w:ascii="Times New Roman" w:hAnsi="Times New Roman"/>
          <w:sz w:val="28"/>
          <w:szCs w:val="28"/>
        </w:rPr>
        <w:tab/>
      </w:r>
      <w:r>
        <w:rPr>
          <w:rFonts w:hint="eastAsia" w:ascii="Times New Roman" w:hAnsi="Times New Roman"/>
          <w:sz w:val="28"/>
          <w:szCs w:val="28"/>
        </w:rPr>
        <w:t>301调查</w:t>
      </w:r>
    </w:p>
    <w:p w14:paraId="75216C3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该调查依据《1974 年贸易法》第301条设立，由美国贸易代表办公室（USTR）主导，针对外国政府的贸易法律、政策或实践是否存在不合理、歧视性安排并损害美国商业利益开展调查，最终可采取加征报复性关税、限制市场准入、暂停贸易优惠等单边制裁措施。 </w:t>
      </w:r>
    </w:p>
    <w:p w14:paraId="1E416C19">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对于不涉及贸易协定或涉及有关补贴和反倾销措施的案件，在调查发起后12个月内作出决定；对于涉及贸易协定（不包括有关补贴和反倾销措施的协定）的案件，在调查发起后18个月内，或世界贸易组织（WTO）争端解决程序结束后30日内（两者中取其较早者）作出决定。</w:t>
      </w:r>
    </w:p>
    <w:p w14:paraId="4EDCC722">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该调查属于美国单边贸易工具，行政部门裁量空间大，司法审查对贸易政策判断保持高度克制。历轮针对特定国家的301关税清单已覆盖多类医疗器械、医用耗材与核心零部件，是出口企业需重点关注的关税风险。</w:t>
      </w:r>
    </w:p>
    <w:p w14:paraId="06D04B35">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1.3</w:t>
      </w:r>
      <w:r>
        <w:rPr>
          <w:rFonts w:hint="eastAsia" w:ascii="Times New Roman" w:hAnsi="Times New Roman"/>
          <w:sz w:val="28"/>
          <w:szCs w:val="28"/>
        </w:rPr>
        <w:tab/>
      </w:r>
      <w:r>
        <w:rPr>
          <w:rFonts w:hint="eastAsia" w:ascii="Times New Roman" w:hAnsi="Times New Roman"/>
          <w:sz w:val="28"/>
          <w:szCs w:val="28"/>
        </w:rPr>
        <w:t>201调查</w:t>
      </w:r>
    </w:p>
    <w:p w14:paraId="7FE1DA49">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该调查依据《1974年贸易法》第201至204节设立，由美国国际贸易委员会（USITC）负责调查并出具产业损害认定报告，总统拥有最终措施决定权。触发条件为特定品类商品进口数量激增，对美国本土同类产业造成严重损害或严重损害威胁，救济措施包括加征关税、实施进口配额、达成有序销售安排等临时性保障手段。 </w:t>
      </w:r>
    </w:p>
    <w:p w14:paraId="16801EE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在损害裁定阶段，普通案件需在立案后120日作出严重损害或损害威胁裁定；若认定案件极其复杂可延长30日、最长150日出具损害裁定。无论案件是否复杂，USITC最晚须在立案后180日内向总统提交完整调查报告及救济建议。总统在收到报告后的60日内作出是否实施关税、配额等救济措施的决策。</w:t>
      </w:r>
    </w:p>
    <w:p w14:paraId="4C2E4B79">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调查聚焦产业损害的事实认定，司法审查主要围绕证据充分性展开，申诉难度通常低于301调查与232调查。201调查不针对特定国家，按产品类别适用。若医疗器械细分品类进口数量出现大幅增长，存在触发此类保障措施的潜在可能。</w:t>
      </w:r>
    </w:p>
    <w:p w14:paraId="27124CB5">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反倾销、反补贴与边境知识产权调查</w:t>
      </w:r>
    </w:p>
    <w:p w14:paraId="041576E0">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针对进口环节的不公平竞争行为，美国建立了反倾销、反补贴“双反”调查制度，同时通过337调查构建边境知识产权保护屏障，两类调查共同构成非关税贸易救济体系，是医疗器械领域高发的贸易风险点。</w:t>
      </w:r>
    </w:p>
    <w:p w14:paraId="467E2EEA">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2.1 反倾销与反补贴调查</w:t>
      </w:r>
    </w:p>
    <w:p w14:paraId="71DAA20B">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美国反倾销与反补贴制度均以《1930年关税法》为核心法律依据，实行“双轨调查”机制：美国商务部负责认定进口产品是否存在低于正常价值的倾销行为，或是否接受了专向性补贴（包含禁止性补贴与可诉性补贴）；美国国际贸易委员会负责认定倾销或补贴是否对美国国内产业造成实质损害或实质损害威胁。两项认定均为肯定的，对应征收反倾销税或反补贴税，两类调查可针对同一产品并行启动、叠加征税。 </w:t>
      </w:r>
    </w:p>
    <w:p w14:paraId="6B87746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医疗器械企业若被裁定存在低价倾销或接受违规政府补贴，将被征收高额惩罚性关税，相关产品对美出口将受到实质性阻碍，甚至被排除出政府采购与医保报销范围。</w:t>
      </w:r>
    </w:p>
    <w:p w14:paraId="468AAAA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2.2</w:t>
      </w:r>
      <w:r>
        <w:rPr>
          <w:rFonts w:hint="eastAsia" w:ascii="Times New Roman" w:hAnsi="Times New Roman"/>
          <w:sz w:val="28"/>
          <w:szCs w:val="28"/>
        </w:rPr>
        <w:tab/>
      </w:r>
      <w:r>
        <w:rPr>
          <w:rFonts w:hint="eastAsia" w:ascii="Times New Roman" w:hAnsi="Times New Roman"/>
          <w:sz w:val="28"/>
          <w:szCs w:val="28"/>
        </w:rPr>
        <w:t>337调查</w:t>
      </w:r>
    </w:p>
    <w:p w14:paraId="50C1AAE6">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该调查依据《1930年关税法》第337节设立，由美国国际贸易委员会对进口产品侵犯美国知识产权、以及其他不公平竞争行为开展准司法调查。申诉方通常为美国本土企业或符合条件的非美国权利人，需证明自身拥有有效的美国知识产权且存在对应国内产业。 </w:t>
      </w:r>
    </w:p>
    <w:p w14:paraId="30C6186A">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调查覆盖涉案产品的境外制造商、美国进口商与境内销售商，不区分产品来源国别。若认定违规成立，委员会可发布排除令与禁止令，禁止侵权产品进入美国市场或继续在境内销售，救济效力覆盖全美国。 </w:t>
      </w:r>
    </w:p>
    <w:p w14:paraId="3AA372B3">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调查周期通常为12至16个月，复杂案件可延长至18个月。裁决可上诉至联邦巡回上诉法院，判例体系成熟，争议多集中在技术事实认定与专利法律适用层面。医疗器械领域技术密集、专利布局密集，是337调查的高发行业。</w:t>
      </w:r>
    </w:p>
    <w:p w14:paraId="2B740EDA">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3.</w:t>
      </w:r>
      <w:r>
        <w:rPr>
          <w:rFonts w:hint="eastAsia" w:ascii="Times New Roman" w:hAnsi="Times New Roman"/>
          <w:b/>
          <w:bCs/>
          <w:sz w:val="28"/>
          <w:szCs w:val="28"/>
        </w:rPr>
        <w:tab/>
      </w:r>
      <w:r>
        <w:rPr>
          <w:rFonts w:hint="eastAsia" w:ascii="Times New Roman" w:hAnsi="Times New Roman"/>
          <w:b/>
          <w:bCs/>
          <w:sz w:val="28"/>
          <w:szCs w:val="28"/>
        </w:rPr>
        <w:t>生物安全与供应链限制</w:t>
      </w:r>
    </w:p>
    <w:p w14:paraId="1E6A8229">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近年来美国持续将生物技术、医疗数据与相关供应链纳入国家安全监管范畴，通过专项立法、产业政策与审查机制，构建生物安全领域的新型贸易管制体系，对高端医疗器械、生物技术相关产品形成新的合规门槛。</w:t>
      </w:r>
    </w:p>
    <w:p w14:paraId="771024E0">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3.1 生物安全监管框架</w:t>
      </w:r>
    </w:p>
    <w:p w14:paraId="4163983E">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美国以《生物安全法案》、国防部生物防御态势评估等政策框架为核心，拓展生物防御的内涵边界，将合成生物学、基因组数据应用、生物监测技术等领域与传统国家安全深度绑定，形成技术、数据、供应链三位一体的监管格局。 </w:t>
      </w:r>
    </w:p>
    <w:p w14:paraId="24D44789">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监管布局围绕四大支柱展开：（1）生物安全维度：聚焦基因组数据安全、军民融合风险管控，实施供应链监管、数据流动限制与应急医疗体系建设；（2）供应链维度：降低对特定国家生物技术与研发服务的依赖，限制联邦资金合作、强化外资安全审查；（3）技术防御维度：围绕AI、生物监测、mRNA平台等技术提升风险发现与响应能力；（4）国际治理维度：主导构建国际生物风险管控机制。</w:t>
      </w:r>
    </w:p>
    <w:p w14:paraId="7EC9116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3.2</w:t>
      </w:r>
      <w:r>
        <w:rPr>
          <w:rFonts w:hint="eastAsia" w:ascii="Times New Roman" w:hAnsi="Times New Roman"/>
          <w:sz w:val="28"/>
          <w:szCs w:val="28"/>
        </w:rPr>
        <w:tab/>
      </w:r>
      <w:r>
        <w:rPr>
          <w:rFonts w:hint="eastAsia" w:ascii="Times New Roman" w:hAnsi="Times New Roman"/>
          <w:sz w:val="28"/>
          <w:szCs w:val="28"/>
        </w:rPr>
        <w:t>针对性管制措施</w:t>
      </w:r>
    </w:p>
    <w:p w14:paraId="02ADBD4B">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具体监管手段包括：限制联邦政府承包商及联邦资金接受方与特定外国生物技术企业开展研发合作；严格管控医疗与科研领域的基因组数据跨境流动，防止敏感数据向境外服务器传输；强化对生物技术设备、研发服务、数据管理环节的安全审查；将关键医疗技术、生物信息纳入出口管制与投资审查范围。 </w:t>
      </w:r>
    </w:p>
    <w:p w14:paraId="5E43991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当前部分监管措施已覆盖基因测序设备、体外诊断产品、生物信息服务等医疗器械细分领域，相关企业可能面临市场准入限制、合作范围收缩、数据合规要求升级等多重挑战。</w:t>
      </w:r>
    </w:p>
    <w:p w14:paraId="625620EA">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3.3</w:t>
      </w:r>
      <w:r>
        <w:rPr>
          <w:rFonts w:hint="eastAsia" w:ascii="Times New Roman" w:hAnsi="Times New Roman"/>
          <w:sz w:val="28"/>
          <w:szCs w:val="28"/>
        </w:rPr>
        <w:tab/>
      </w:r>
      <w:r>
        <w:rPr>
          <w:rFonts w:hint="eastAsia" w:ascii="Times New Roman" w:hAnsi="Times New Roman"/>
          <w:sz w:val="28"/>
          <w:szCs w:val="28"/>
        </w:rPr>
        <w:t>供应链重构政策</w:t>
      </w:r>
    </w:p>
    <w:p w14:paraId="41821EF5">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美国通过立法引导与政策激励，推动医疗器械关键零部件、上游原材料供应链向本土及盟友国家转移，降低对单一海外供应源的依赖。政府采购、医保支付等环节逐步向本土供应链倾斜，对依赖特定地区供应链的医疗器械产品形成隐性市场壁垒。</w:t>
      </w:r>
    </w:p>
    <w:p w14:paraId="0BC91716">
      <w:pPr>
        <w:pStyle w:val="26"/>
        <w:numPr>
          <w:ilvl w:val="2"/>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加拿大</w:t>
      </w:r>
    </w:p>
    <w:p w14:paraId="0A8D59B9">
      <w:pPr>
        <w:pStyle w:val="26"/>
        <w:numPr>
          <w:ilvl w:val="0"/>
          <w:numId w:val="3"/>
        </w:numPr>
        <w:spacing w:before="120" w:beforeLines="50" w:after="120" w:afterLines="50" w:line="360" w:lineRule="auto"/>
        <w:jc w:val="both"/>
        <w:rPr>
          <w:rFonts w:ascii="Times New Roman" w:hAnsi="Times New Roman"/>
          <w:b/>
          <w:bCs/>
          <w:sz w:val="28"/>
          <w:szCs w:val="28"/>
        </w:rPr>
      </w:pPr>
      <w:r>
        <w:rPr>
          <w:rFonts w:hint="eastAsia" w:ascii="Times New Roman" w:hAnsi="Times New Roman"/>
          <w:b/>
          <w:bCs/>
          <w:sz w:val="28"/>
          <w:szCs w:val="28"/>
        </w:rPr>
        <w:t>通关监管合规</w:t>
      </w:r>
    </w:p>
    <w:p w14:paraId="6BB7D53D">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w:t>
      </w:r>
      <w:r>
        <w:rPr>
          <w:rFonts w:hint="eastAsia" w:ascii="Times New Roman" w:hAnsi="Times New Roman"/>
          <w:b/>
          <w:bCs/>
          <w:sz w:val="28"/>
          <w:szCs w:val="28"/>
        </w:rPr>
        <w:tab/>
      </w:r>
      <w:r>
        <w:rPr>
          <w:rFonts w:hint="eastAsia" w:ascii="Times New Roman" w:hAnsi="Times New Roman"/>
          <w:b/>
          <w:bCs/>
          <w:sz w:val="28"/>
          <w:szCs w:val="28"/>
        </w:rPr>
        <w:t>监管依据与主管架构</w:t>
      </w:r>
    </w:p>
    <w:p w14:paraId="067C667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加拿大医疗器械入境监管以《食品和药品法》及《医疗器械法规》（MDR）为核心法律依据，由加拿大卫生部（Health Canada）负责产品准入资质与合规标准制定，加拿大边境服务局（CBSA）负责口岸现场查验与货物管控，两部门建立联动执法机制，对疑似不合规货物可实施扣留并移送卫生部复核认定。</w:t>
      </w:r>
    </w:p>
    <w:p w14:paraId="6D74C7D0">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入境资质分级要求</w:t>
      </w:r>
    </w:p>
    <w:p w14:paraId="342260D0">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加拿大按风险等级将医疗器械划分为I、II、III、IV四类，等级越高监管要求越严格：</w:t>
      </w:r>
    </w:p>
    <w:p w14:paraId="25E8D4EB">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对于I类低风险器械，无需单独取得医疗器械许可证（MDL），但进口商须持有涵盖进口业务的医疗器械机构许可证（MDEL）。对于II-IV类中高风险器械，产品须先行取得卫生部核发的MDL，同时进口商须持有对应进口范围的MDEL。</w:t>
      </w:r>
    </w:p>
    <w:p w14:paraId="703D0E8A">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进口商须确保境外供货方（非生产企业）持有相应MDEL资质，直接从生产企业采购的情形除外。</w:t>
      </w:r>
    </w:p>
    <w:p w14:paraId="7163B5CC">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符合以下情形可豁免MDEL要求：面向终端用户的零售企业、医疗机构、仅通过持牌机构进口I类器械的生产企业、仅进口自有持证产品的II-IV类器械生产企业、兽用器械进口商等。</w:t>
      </w:r>
    </w:p>
    <w:p w14:paraId="19424215">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3.</w:t>
      </w:r>
      <w:r>
        <w:rPr>
          <w:rFonts w:hint="eastAsia" w:ascii="Times New Roman" w:hAnsi="Times New Roman"/>
          <w:b/>
          <w:bCs/>
          <w:sz w:val="28"/>
          <w:szCs w:val="28"/>
        </w:rPr>
        <w:tab/>
      </w:r>
      <w:r>
        <w:rPr>
          <w:rFonts w:hint="eastAsia" w:ascii="Times New Roman" w:hAnsi="Times New Roman"/>
          <w:b/>
          <w:bCs/>
          <w:sz w:val="28"/>
          <w:szCs w:val="28"/>
        </w:rPr>
        <w:t>边境通关查验流程</w:t>
      </w:r>
    </w:p>
    <w:p w14:paraId="1DEDD38E">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CBSA口岸官员不对许可证件进行常规核验，但有权对疑似不合规货物采取扣留措施，并移送就近的卫生部边境中心处理。卫生部原则上在2个工作日内反馈核查意见，逾期未答复的，CBSA可按正常流程放行货物并同步通报卫生部，由卫生部后续向进口商开展追溯核查。</w:t>
      </w:r>
    </w:p>
    <w:p w14:paraId="47D9C3B4">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4.</w:t>
      </w:r>
      <w:r>
        <w:rPr>
          <w:rFonts w:hint="eastAsia" w:ascii="Times New Roman" w:hAnsi="Times New Roman"/>
          <w:b/>
          <w:bCs/>
          <w:sz w:val="28"/>
          <w:szCs w:val="28"/>
        </w:rPr>
        <w:tab/>
      </w:r>
      <w:r>
        <w:rPr>
          <w:rFonts w:hint="eastAsia" w:ascii="Times New Roman" w:hAnsi="Times New Roman"/>
          <w:b/>
          <w:bCs/>
          <w:sz w:val="28"/>
          <w:szCs w:val="28"/>
        </w:rPr>
        <w:t>标签合规与预先通知制度</w:t>
      </w:r>
    </w:p>
    <w:p w14:paraId="0835B76C">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进口医疗器械标签原则上应符合加拿大官方语言要求：面向公众销售的产品，核心标识信息须同时使用英文和法文；非面向公众的产品至少使用其中一种官方语言。</w:t>
      </w:r>
    </w:p>
    <w:p w14:paraId="0FCA5459">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标签暂不符合要求的产品，可通过“进口预先通知（ANI）”制度附条件入境：由MDEL的进口商或生产企业向卫生部提ANI申请，明确整改方案与境内重贴标签地点，入境后须在3个月内完成标签合规整改并经确认后方可销售。</w:t>
      </w:r>
    </w:p>
    <w:p w14:paraId="601290F4">
      <w:pPr>
        <w:pStyle w:val="26"/>
        <w:numPr>
          <w:ilvl w:val="0"/>
          <w:numId w:val="3"/>
        </w:numPr>
        <w:spacing w:before="120" w:beforeLines="50" w:after="120" w:afterLines="50" w:line="360" w:lineRule="auto"/>
        <w:jc w:val="both"/>
        <w:rPr>
          <w:rFonts w:ascii="Times New Roman" w:hAnsi="Times New Roman"/>
          <w:b/>
          <w:bCs/>
          <w:sz w:val="28"/>
          <w:szCs w:val="28"/>
        </w:rPr>
      </w:pPr>
      <w:r>
        <w:rPr>
          <w:rFonts w:hint="eastAsia" w:ascii="Times New Roman" w:hAnsi="Times New Roman"/>
          <w:b/>
          <w:bCs/>
          <w:sz w:val="28"/>
          <w:szCs w:val="28"/>
        </w:rPr>
        <w:t>医疗器械上市准入体系</w:t>
      </w:r>
    </w:p>
    <w:p w14:paraId="434FCA71">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w:t>
      </w:r>
      <w:r>
        <w:rPr>
          <w:rFonts w:hint="eastAsia" w:ascii="Times New Roman" w:hAnsi="Times New Roman"/>
          <w:b/>
          <w:bCs/>
          <w:sz w:val="28"/>
          <w:szCs w:val="28"/>
        </w:rPr>
        <w:tab/>
      </w:r>
      <w:r>
        <w:rPr>
          <w:rFonts w:hint="eastAsia" w:ascii="Times New Roman" w:hAnsi="Times New Roman"/>
          <w:b/>
          <w:bCs/>
          <w:sz w:val="28"/>
          <w:szCs w:val="28"/>
        </w:rPr>
        <w:t>监管法律框架</w:t>
      </w:r>
    </w:p>
    <w:p w14:paraId="671616C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加拿大医疗器械上市准入以《食品和药品法》为上位法依据，以MDR为核心执行细则，由加拿大卫生部统一负责准入审评、标准制定与上市后监管，构建了 “风险分级管控、产品与机构双重许可”的准入管理体系。</w:t>
      </w:r>
    </w:p>
    <w:p w14:paraId="5575E129">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风险分级管理机制</w:t>
      </w:r>
    </w:p>
    <w:p w14:paraId="264BB332">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加拿大根据医疗器械的预期用途、侵入性程度、使用场景与潜在健康风险等维度，将所有医疗器械划分为I至IV四个等级，监管强度与风险等级直接挂钩：I类为最低风险器械（如普通医用检查手套、压舌板），适用最简化准入要求；II类为低至中度风险器械（如家用血糖仪、雾化治疗仪）；III类为中度至高风险器械（如植入式心脏起搏器、人工关节假体）；IV类为最高风险器械（如冠脉支架、人工心脏），需接受全流程严格技术审评。</w:t>
      </w:r>
    </w:p>
    <w:p w14:paraId="41263BB6">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产品分类判定须严格遵循MDR附录确立的分类规则，由申报主体完成初判后提交加拿大卫生部最终确认。</w:t>
      </w:r>
    </w:p>
    <w:p w14:paraId="72CD97F2">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3.</w:t>
      </w:r>
      <w:r>
        <w:rPr>
          <w:rFonts w:hint="eastAsia" w:ascii="Times New Roman" w:hAnsi="Times New Roman"/>
          <w:b/>
          <w:bCs/>
          <w:sz w:val="28"/>
          <w:szCs w:val="28"/>
        </w:rPr>
        <w:tab/>
      </w:r>
      <w:r>
        <w:rPr>
          <w:rFonts w:hint="eastAsia" w:ascii="Times New Roman" w:hAnsi="Times New Roman"/>
          <w:b/>
          <w:bCs/>
          <w:sz w:val="28"/>
          <w:szCs w:val="28"/>
        </w:rPr>
        <w:t>双重许可准入制度</w:t>
      </w:r>
    </w:p>
    <w:p w14:paraId="544B0F2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加拿大对医疗器械上市实施“产品资质+经营主体”并行的双重准入管理。</w:t>
      </w:r>
    </w:p>
    <w:p w14:paraId="5E914F44">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3.1</w:t>
      </w:r>
      <w:r>
        <w:rPr>
          <w:rFonts w:hint="eastAsia" w:ascii="Times New Roman" w:hAnsi="Times New Roman"/>
          <w:sz w:val="28"/>
          <w:szCs w:val="28"/>
        </w:rPr>
        <w:tab/>
      </w:r>
      <w:r>
        <w:rPr>
          <w:rFonts w:hint="eastAsia" w:ascii="Times New Roman" w:hAnsi="Times New Roman"/>
          <w:sz w:val="28"/>
          <w:szCs w:val="28"/>
        </w:rPr>
        <w:t xml:space="preserve">医疗器械许可证（MDL） </w:t>
      </w:r>
    </w:p>
    <w:p w14:paraId="079AC676">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II-IV类医疗器械必须取得加拿大卫生部核发的MDL后方可进口或在加境内销售。MDL针对具体产品核发，审评核心包括产品安全有效性验证、质量管理体系符合性、临床证据充分性等。申请主体原则上为产品生产企业，也可由持正式授权的境内注册代理人提交。</w:t>
      </w:r>
    </w:p>
    <w:p w14:paraId="57BC5FC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3.2 医疗器械机构许可证（MDEL）</w:t>
      </w:r>
    </w:p>
    <w:p w14:paraId="70B336F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I类医疗器械的生产企业，以及全类别医疗器械的进口商、经销商，均须持有MDEL方可开展对应经营活动。MDEL针对经营主体核发，重点审核企业质量管控体系、不良事件处置能力与全链条追溯机制。医疗机构、终端零售商等主体可豁免MDEL要求，但须从持有效MDEL的合规供应商处采购产品。</w:t>
      </w:r>
    </w:p>
    <w:p w14:paraId="2651CF72">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4.</w:t>
      </w:r>
      <w:r>
        <w:rPr>
          <w:rFonts w:hint="eastAsia" w:ascii="Times New Roman" w:hAnsi="Times New Roman"/>
          <w:b/>
          <w:bCs/>
          <w:sz w:val="28"/>
          <w:szCs w:val="28"/>
        </w:rPr>
        <w:tab/>
      </w:r>
      <w:r>
        <w:rPr>
          <w:rFonts w:hint="eastAsia" w:ascii="Times New Roman" w:hAnsi="Times New Roman"/>
          <w:b/>
          <w:bCs/>
          <w:sz w:val="28"/>
          <w:szCs w:val="28"/>
        </w:rPr>
        <w:t>特殊准入通道</w:t>
      </w:r>
    </w:p>
    <w:p w14:paraId="2B90172A">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针对突发公共卫生事件等紧急情形，加拿大设有 “紧急公共卫生需求（UPHN）” 特殊授权路径。列入官方UPHN清单的医疗器械，生产企业可按简化程序申请应急授权，无需履行常规MDL完整审评流程，以快速响应公共卫生应急需求。</w:t>
      </w:r>
    </w:p>
    <w:p w14:paraId="51D57C6D">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5.</w:t>
      </w:r>
      <w:r>
        <w:rPr>
          <w:rFonts w:hint="eastAsia" w:ascii="Times New Roman" w:hAnsi="Times New Roman"/>
          <w:b/>
          <w:bCs/>
          <w:sz w:val="28"/>
          <w:szCs w:val="28"/>
        </w:rPr>
        <w:tab/>
      </w:r>
      <w:r>
        <w:rPr>
          <w:rFonts w:hint="eastAsia" w:ascii="Times New Roman" w:hAnsi="Times New Roman"/>
          <w:b/>
          <w:bCs/>
          <w:sz w:val="28"/>
          <w:szCs w:val="28"/>
        </w:rPr>
        <w:t>许可存续要求</w:t>
      </w:r>
    </w:p>
    <w:p w14:paraId="0613371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MDL与MDEL均为长期有效许可，但持证人须履行年度信息申报义务，于每年4月1日前完成年度审核提交。产品发生设计、生产工艺、预期用途等重大变更时，须提前向加拿大卫生部提交变更申请，经核准后方可实施调整。</w:t>
      </w:r>
    </w:p>
    <w:p w14:paraId="2A3550DD">
      <w:pPr>
        <w:pStyle w:val="26"/>
        <w:numPr>
          <w:ilvl w:val="0"/>
          <w:numId w:val="3"/>
        </w:numPr>
        <w:spacing w:before="120" w:beforeLines="50" w:after="120" w:afterLines="50" w:line="360" w:lineRule="auto"/>
        <w:jc w:val="both"/>
        <w:rPr>
          <w:rFonts w:ascii="Times New Roman" w:hAnsi="Times New Roman"/>
          <w:b/>
          <w:bCs/>
          <w:sz w:val="28"/>
          <w:szCs w:val="28"/>
        </w:rPr>
      </w:pPr>
      <w:r>
        <w:rPr>
          <w:rFonts w:hint="eastAsia" w:ascii="Times New Roman" w:hAnsi="Times New Roman"/>
          <w:b/>
          <w:bCs/>
          <w:sz w:val="28"/>
          <w:szCs w:val="28"/>
        </w:rPr>
        <w:t>代理人制度</w:t>
      </w:r>
    </w:p>
    <w:p w14:paraId="5A6BEA2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依据加拿大MDR属地监管要求，所有非加拿大境内注册的医疗器械生产企业，在办理产品注册、进口申报及履行上市后合规义务时，必须指定一家加拿大境内依法设立的法人实体作为授权代表。授权代表作为加拿大卫生部的法定联络主体，全权负责MDL申报提交、审核问询答复、全套技术文件留存（产品退市后至少保存10年）、不良事件上报、产品召回协调等事务，与境外生产企业承担合规连带责任。授权代表可由持有效MDEL的进口商、分销商或专业合规服务机构担任，双方须签署正式书面授权文件，明确权责范围与授权期限。</w:t>
      </w:r>
    </w:p>
    <w:p w14:paraId="7902B906">
      <w:pPr>
        <w:pStyle w:val="26"/>
        <w:numPr>
          <w:ilvl w:val="0"/>
          <w:numId w:val="3"/>
        </w:numPr>
        <w:spacing w:before="120" w:beforeLines="50" w:after="120" w:afterLines="50" w:line="360" w:lineRule="auto"/>
        <w:jc w:val="both"/>
        <w:rPr>
          <w:rFonts w:ascii="Times New Roman" w:hAnsi="Times New Roman"/>
          <w:b/>
          <w:bCs/>
          <w:sz w:val="28"/>
          <w:szCs w:val="28"/>
        </w:rPr>
      </w:pPr>
      <w:r>
        <w:rPr>
          <w:rFonts w:hint="eastAsia" w:ascii="Times New Roman" w:hAnsi="Times New Roman"/>
          <w:b/>
          <w:bCs/>
          <w:sz w:val="28"/>
          <w:szCs w:val="28"/>
        </w:rPr>
        <w:t>销售流通合规</w:t>
      </w:r>
    </w:p>
    <w:p w14:paraId="788119BB">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加拿大对医疗器械经营活动实施MDEL管理，许可证不按批发、零售划分资质类别，仅根据经营活动类型设置进口、分销两类权限，主体资质要求如下：</w:t>
      </w:r>
    </w:p>
    <w:p w14:paraId="0BC51332">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w:t>
      </w:r>
      <w:r>
        <w:rPr>
          <w:rFonts w:hint="eastAsia" w:ascii="Times New Roman" w:hAnsi="Times New Roman"/>
          <w:b/>
          <w:bCs/>
          <w:sz w:val="28"/>
          <w:szCs w:val="28"/>
        </w:rPr>
        <w:tab/>
      </w:r>
      <w:r>
        <w:rPr>
          <w:rFonts w:hint="eastAsia" w:ascii="Times New Roman" w:hAnsi="Times New Roman"/>
          <w:b/>
          <w:bCs/>
          <w:sz w:val="28"/>
          <w:szCs w:val="28"/>
        </w:rPr>
        <w:t>强制持证主体</w:t>
      </w:r>
    </w:p>
    <w:p w14:paraId="227E2D2C">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全类别医疗器械的进口商、分销商，以及I类医疗器械的境内生产企业，必须取得有效MDEL后方可开展对应经营活动。进口与分销权限可在同一许可证中合并申请。</w:t>
      </w:r>
    </w:p>
    <w:p w14:paraId="5D97B9D0">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资质豁免主体</w:t>
      </w:r>
    </w:p>
    <w:p w14:paraId="20C04FA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仅向最终消费者销售产品的零售商、提供诊疗服务的医疗机构、仅销售自有持证产品的II-IV类医疗器械生产企业、仅为个人自用进口产品的自然人，无需取得MDEL，但须从持有效MDEL的合规供应商处采购产品。</w:t>
      </w:r>
    </w:p>
    <w:p w14:paraId="0CBDAE5D">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3.</w:t>
      </w:r>
      <w:r>
        <w:rPr>
          <w:rFonts w:hint="eastAsia" w:ascii="Times New Roman" w:hAnsi="Times New Roman"/>
          <w:b/>
          <w:bCs/>
          <w:sz w:val="28"/>
          <w:szCs w:val="28"/>
        </w:rPr>
        <w:tab/>
      </w:r>
      <w:r>
        <w:rPr>
          <w:rFonts w:hint="eastAsia" w:ascii="Times New Roman" w:hAnsi="Times New Roman"/>
          <w:b/>
          <w:bCs/>
          <w:sz w:val="28"/>
          <w:szCs w:val="28"/>
        </w:rPr>
        <w:t>流通模式与销售对象范围</w:t>
      </w:r>
    </w:p>
    <w:p w14:paraId="63D6EBB1">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加拿大未对医疗器械流通模式作出强制限制，生产企业可自主选择直销或分销路径：持有有效MDL的Ⅱ-Ⅳ类生产企业，可直接向医疗机构、零售主体或终端用户销售自有持证产品；Ⅰ类生产企业须通过持MDEL的经营主体开展销售。 </w:t>
      </w:r>
    </w:p>
    <w:p w14:paraId="471CD133">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销售对象涵盖医疗机构、医疗卫生专业人员以及最终消费者（个人）。其中，仅标注供专业人员使用的高风险器械，不得直接向个人零售；经批准可家庭使用的低风险、中风险器械，可通过零售渠道向个人销售。经营主体若向其他经营主体转售产品，属于分销范畴，须取得MDEL资质。</w:t>
      </w:r>
    </w:p>
    <w:p w14:paraId="37925A95">
      <w:pPr>
        <w:pStyle w:val="26"/>
        <w:numPr>
          <w:ilvl w:val="0"/>
          <w:numId w:val="3"/>
        </w:numPr>
        <w:spacing w:before="120" w:beforeLines="50" w:after="120" w:afterLines="50" w:line="360" w:lineRule="auto"/>
        <w:jc w:val="both"/>
        <w:rPr>
          <w:rFonts w:ascii="Times New Roman" w:hAnsi="Times New Roman"/>
          <w:b/>
          <w:bCs/>
          <w:sz w:val="28"/>
          <w:szCs w:val="28"/>
        </w:rPr>
      </w:pPr>
      <w:r>
        <w:rPr>
          <w:rFonts w:hint="eastAsia" w:ascii="Times New Roman" w:hAnsi="Times New Roman"/>
          <w:b/>
          <w:bCs/>
          <w:sz w:val="28"/>
          <w:szCs w:val="28"/>
        </w:rPr>
        <w:t>医疗器械广告与促销合规</w:t>
      </w:r>
    </w:p>
    <w:p w14:paraId="04A9E3CB">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w:t>
      </w:r>
      <w:r>
        <w:rPr>
          <w:rFonts w:hint="eastAsia" w:ascii="Times New Roman" w:hAnsi="Times New Roman"/>
          <w:b/>
          <w:bCs/>
          <w:sz w:val="28"/>
          <w:szCs w:val="28"/>
        </w:rPr>
        <w:tab/>
      </w:r>
      <w:r>
        <w:rPr>
          <w:rFonts w:hint="eastAsia" w:ascii="Times New Roman" w:hAnsi="Times New Roman"/>
          <w:b/>
          <w:bCs/>
          <w:sz w:val="28"/>
          <w:szCs w:val="28"/>
        </w:rPr>
        <w:t>监管法律框架</w:t>
      </w:r>
    </w:p>
    <w:p w14:paraId="0494982D">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加拿大医疗器械广告与促销活动受《食品和药品法》及MDR统一规制，由加拿大卫生部负责合规监督与执法，核心立法目标是保障宣传内容真实非误导，避免公众健康风险。广告活动无需经过事前行政审批，由发布主体自行承担合规责任，卫生部可对涉嫌违规广告开展调查并采取执法措施。</w:t>
      </w:r>
    </w:p>
    <w:p w14:paraId="539E9704">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分级传播管理要求</w:t>
      </w:r>
    </w:p>
    <w:p w14:paraId="061455CA">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加拿大按器械风险等级对广告传播范围实施分级管控。</w:t>
      </w:r>
    </w:p>
    <w:p w14:paraId="552BD7FC">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2.1</w:t>
      </w:r>
      <w:r>
        <w:rPr>
          <w:rFonts w:hint="eastAsia" w:ascii="Times New Roman" w:hAnsi="Times New Roman"/>
          <w:sz w:val="28"/>
          <w:szCs w:val="28"/>
        </w:rPr>
        <w:tab/>
      </w:r>
      <w:r>
        <w:rPr>
          <w:rFonts w:hint="eastAsia" w:ascii="Times New Roman" w:hAnsi="Times New Roman"/>
          <w:sz w:val="28"/>
          <w:szCs w:val="28"/>
        </w:rPr>
        <w:t>Ⅰ类医疗器械</w:t>
      </w:r>
    </w:p>
    <w:p w14:paraId="0E09C1D5">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无强制广告准入资质要求，但宣传内容须符合真实性与非误导性基本原则。 </w:t>
      </w:r>
    </w:p>
    <w:p w14:paraId="275DAF5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面向公众的广告不得就《食品和药品法》附表A所列严重疾病作出治疗、治愈或预防功效宣称；仅标注“供专业人员使用”的高风险器械，不得直接面向普通消费者发布广告。避孕套、非宫内节育器类避孕器械可按法规规定的限定条件面向公众宣传。</w:t>
      </w:r>
    </w:p>
    <w:p w14:paraId="501C87D4">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2.2 Ⅱ-Ⅳ类医疗器械</w:t>
      </w:r>
    </w:p>
    <w:p w14:paraId="7193A714">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仅当产品持有有效MDL时，方可开展以销售为目的的广告宣传；未获证产品仅可在专业目录中刊载，且必须在显著位置标注“本产品可能未依据加拿大法律取得许可”的警示语。</w:t>
      </w:r>
    </w:p>
    <w:p w14:paraId="487DAD04">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3.</w:t>
      </w:r>
      <w:r>
        <w:rPr>
          <w:rFonts w:hint="eastAsia" w:ascii="Times New Roman" w:hAnsi="Times New Roman"/>
          <w:b/>
          <w:bCs/>
          <w:sz w:val="28"/>
          <w:szCs w:val="28"/>
        </w:rPr>
        <w:tab/>
      </w:r>
      <w:r>
        <w:rPr>
          <w:rFonts w:hint="eastAsia" w:ascii="Times New Roman" w:hAnsi="Times New Roman"/>
          <w:b/>
          <w:bCs/>
          <w:sz w:val="28"/>
          <w:szCs w:val="28"/>
        </w:rPr>
        <w:t>广告内容合规准则</w:t>
      </w:r>
    </w:p>
    <w:p w14:paraId="18634AF2">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所有医疗器械广告内容须与产品获批标签、说明书及MDL核准信息保持一致，不得超出核准的适应症、使用范围与性能参数。宣传中涉及产品功效、性能指标的表述，必须有充分的科学证据与临床数据支撑，不得片面强调收益而省略风险提示。 </w:t>
      </w:r>
    </w:p>
    <w:p w14:paraId="343EED3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面向医疗专业人员的专业广告，可包含技术细节与临床研究数据，但不得通过选择性引用文献、隐瞒研究局限性等方式误导专业判断；面向公众的广告应使用通俗易懂的表述，同时清晰标注适用人群限制、禁忌症与潜在不良反应。</w:t>
      </w:r>
    </w:p>
    <w:p w14:paraId="6D2060BA">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4.</w:t>
      </w:r>
      <w:r>
        <w:rPr>
          <w:rFonts w:hint="eastAsia" w:ascii="Times New Roman" w:hAnsi="Times New Roman"/>
          <w:b/>
          <w:bCs/>
          <w:sz w:val="28"/>
          <w:szCs w:val="28"/>
        </w:rPr>
        <w:tab/>
      </w:r>
      <w:r>
        <w:rPr>
          <w:rFonts w:hint="eastAsia" w:ascii="Times New Roman" w:hAnsi="Times New Roman"/>
          <w:b/>
          <w:bCs/>
          <w:sz w:val="28"/>
          <w:szCs w:val="28"/>
        </w:rPr>
        <w:t>禁止性广告行为</w:t>
      </w:r>
    </w:p>
    <w:p w14:paraId="0E2BAD6B">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依据《食品和药品法》第9条、第20条及MDR相关规定，以下广告行为严格禁止：（1）发布虚假、误导性或欺骗性广告，包括夸大产品功效、隐瞒安全风险、虚构临床验证结果等；（2）宣传未经加拿大卫生部核准的适应症（超适应症宣传），或暗示产品可用于未获批的使用场景；（3）使用“治愈”“百分百有效”“绝对安全”等绝对化表述，或通过患者案例、专家推荐等方式变相误导公众；（4）以上门推销、邮寄样品等方式向公众直销II-IV类医疗器械。</w:t>
      </w:r>
    </w:p>
    <w:p w14:paraId="3CA8A070">
      <w:pPr>
        <w:pStyle w:val="26"/>
        <w:numPr>
          <w:ilvl w:val="0"/>
          <w:numId w:val="3"/>
        </w:numPr>
        <w:spacing w:before="120" w:beforeLines="50" w:after="120" w:afterLines="50" w:line="360" w:lineRule="auto"/>
        <w:jc w:val="both"/>
        <w:rPr>
          <w:rFonts w:ascii="Times New Roman" w:hAnsi="Times New Roman"/>
          <w:b/>
          <w:bCs/>
          <w:sz w:val="28"/>
          <w:szCs w:val="28"/>
        </w:rPr>
      </w:pPr>
      <w:r>
        <w:rPr>
          <w:rFonts w:hint="eastAsia" w:ascii="Times New Roman" w:hAnsi="Times New Roman"/>
          <w:b/>
          <w:bCs/>
          <w:sz w:val="28"/>
          <w:szCs w:val="28"/>
        </w:rPr>
        <w:t>上市后警戒与产品责任</w:t>
      </w:r>
    </w:p>
    <w:p w14:paraId="2C1FB5DD">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w:t>
      </w:r>
      <w:r>
        <w:rPr>
          <w:rFonts w:hint="eastAsia" w:ascii="Times New Roman" w:hAnsi="Times New Roman"/>
          <w:b/>
          <w:bCs/>
          <w:sz w:val="28"/>
          <w:szCs w:val="28"/>
        </w:rPr>
        <w:tab/>
      </w:r>
      <w:r>
        <w:rPr>
          <w:rFonts w:hint="eastAsia" w:ascii="Times New Roman" w:hAnsi="Times New Roman"/>
          <w:b/>
          <w:bCs/>
          <w:sz w:val="28"/>
          <w:szCs w:val="28"/>
        </w:rPr>
        <w:t>警戒监管体系与责任主体</w:t>
      </w:r>
    </w:p>
    <w:p w14:paraId="5790BC92">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加拿大医疗器械上市后警戒制度以《食品和药品法》、MDR为核心法律依据，通过《保护加拿大人免受不安全药品法》（即Vanessa法）补充医疗机构强制报告义务，由加拿大卫生部统一负责安全信号识别、风险评估与处置指令下达。警戒责任覆盖全产业链主体，Ⅱ-Ⅳ类医疗器械许可证持证人、进口商为法定主动监测主体，承担事件上报、风险排查与持续评估义务；医院等医疗机构依法履行强制报告责任，医疗卫生专业人员及终端用户可通过官方渠道自愿上报安全问题。</w:t>
      </w:r>
    </w:p>
    <w:p w14:paraId="669F0C59">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分级不良事件报告要求</w:t>
      </w:r>
    </w:p>
    <w:p w14:paraId="7EA98DF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加拿大按事件危害程度实施差异化时限管理。</w:t>
      </w:r>
    </w:p>
    <w:p w14:paraId="49B8428D">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2.1</w:t>
      </w:r>
      <w:r>
        <w:rPr>
          <w:rFonts w:hint="eastAsia" w:ascii="Times New Roman" w:hAnsi="Times New Roman"/>
          <w:sz w:val="28"/>
          <w:szCs w:val="28"/>
        </w:rPr>
        <w:tab/>
      </w:r>
      <w:r>
        <w:rPr>
          <w:rFonts w:hint="eastAsia" w:ascii="Times New Roman" w:hAnsi="Times New Roman"/>
          <w:sz w:val="28"/>
          <w:szCs w:val="28"/>
        </w:rPr>
        <w:t>企业端强制报告</w:t>
      </w:r>
    </w:p>
    <w:p w14:paraId="3CDE04F2">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持证人获悉器械相关事件造成人员死亡或健康状况严重不可逆恶化的，须于知悉后10日内提交正式报告；事件未产生即时严重后果但存在复发后引发重大健康风险可能的，须于30日内完成上报。报告需涵盖产品标识、事件全貌、患者损害结果及初步原因研判。</w:t>
      </w:r>
    </w:p>
    <w:p w14:paraId="2C709D12">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2.2</w:t>
      </w:r>
      <w:r>
        <w:rPr>
          <w:rFonts w:hint="eastAsia" w:ascii="Times New Roman" w:hAnsi="Times New Roman"/>
          <w:sz w:val="28"/>
          <w:szCs w:val="28"/>
        </w:rPr>
        <w:tab/>
      </w:r>
      <w:r>
        <w:rPr>
          <w:rFonts w:hint="eastAsia" w:ascii="Times New Roman" w:hAnsi="Times New Roman"/>
          <w:sz w:val="28"/>
          <w:szCs w:val="28"/>
        </w:rPr>
        <w:t>医疗机构端强制报告</w:t>
      </w:r>
    </w:p>
    <w:p w14:paraId="77467741">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依据Vanessa 法规定，加拿大境内医院发现医疗器械相关严重不良事件，须于30日内上报卫生部；在特殊准入、临床研究场景下使用器械发生严重安全问题的，使用机构须在72小时内提交快报。</w:t>
      </w:r>
    </w:p>
    <w:p w14:paraId="6559EFE6">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3.</w:t>
      </w:r>
      <w:r>
        <w:rPr>
          <w:rFonts w:hint="eastAsia" w:ascii="Times New Roman" w:hAnsi="Times New Roman"/>
          <w:b/>
          <w:bCs/>
          <w:sz w:val="28"/>
          <w:szCs w:val="28"/>
        </w:rPr>
        <w:tab/>
      </w:r>
      <w:r>
        <w:rPr>
          <w:rFonts w:hint="eastAsia" w:ascii="Times New Roman" w:hAnsi="Times New Roman"/>
          <w:b/>
          <w:bCs/>
          <w:sz w:val="28"/>
          <w:szCs w:val="28"/>
        </w:rPr>
        <w:t>定期风险复盘与境外风险通报</w:t>
      </w:r>
    </w:p>
    <w:p w14:paraId="46552AFD">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根据MDR上市后监测专项修订规则，持证人须按产品风险等级定期开展全生命周期风险收益复盘。Ⅱ类器械每24个月、Ⅲ与Ⅳ类器械每12个月编制上市后风险总结报告，系统梳理不良事件数据、已知风险演变与新发安全隐患。若复盘确认产品风险收益轮廓发生负面偏移，须于72小时内书面通报加拿大卫生部。 </w:t>
      </w:r>
    </w:p>
    <w:p w14:paraId="4C5EFCFB">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针对跨境安全风险，建立境外风险通报（FRN）机制。Ⅱ-Ⅳ类器械的持证企业与进口商，得知产品在其他司法辖区因严重健康风险采取召回、限制使用等措施的，须于72小时内向卫生部提交风险通报，说明问题根源与加拿大境内应对预案，相关档案留存期限不少于7年。</w:t>
      </w:r>
    </w:p>
    <w:p w14:paraId="731C178D">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4.</w:t>
      </w:r>
      <w:r>
        <w:rPr>
          <w:rFonts w:hint="eastAsia" w:ascii="Times New Roman" w:hAnsi="Times New Roman"/>
          <w:b/>
          <w:bCs/>
          <w:sz w:val="28"/>
          <w:szCs w:val="28"/>
        </w:rPr>
        <w:tab/>
      </w:r>
      <w:r>
        <w:rPr>
          <w:rFonts w:hint="eastAsia" w:ascii="Times New Roman" w:hAnsi="Times New Roman"/>
          <w:b/>
          <w:bCs/>
          <w:sz w:val="28"/>
          <w:szCs w:val="28"/>
        </w:rPr>
        <w:t>产品责任</w:t>
      </w:r>
    </w:p>
    <w:p w14:paraId="17C06B6B">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经警戒监测确认产品存在安全缺陷或违反监管要求的，加拿大卫生部可依法采取风险公示、责令暂停销售、扣押涉事产品、撤销MDL或MDEL等行政处置，并处最高500万加元的行政罚款。 </w:t>
      </w:r>
    </w:p>
    <w:p w14:paraId="4BE5B0A0">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民事责任层面，因医疗器械设计缺陷、生产质量问题、标识缺失造成使用者人身伤害或财产损失的，境外生产企业、境内进口商及授权代表须依加拿大普通法与省级产品责任规则承担连带赔偿责任。故意隐瞒产品重大安全风险、销售不合格器械造成严重公共健康后果，构成刑事犯罪的，依法追究相应刑事责任。</w:t>
      </w:r>
    </w:p>
    <w:p w14:paraId="45B5D246">
      <w:pPr>
        <w:pStyle w:val="26"/>
        <w:numPr>
          <w:ilvl w:val="0"/>
          <w:numId w:val="3"/>
        </w:numPr>
        <w:spacing w:before="120" w:beforeLines="50" w:after="120" w:afterLines="50" w:line="360" w:lineRule="auto"/>
        <w:jc w:val="both"/>
        <w:rPr>
          <w:rFonts w:ascii="Times New Roman" w:hAnsi="Times New Roman"/>
          <w:b/>
          <w:bCs/>
          <w:sz w:val="28"/>
          <w:szCs w:val="28"/>
        </w:rPr>
      </w:pPr>
      <w:r>
        <w:rPr>
          <w:rFonts w:hint="eastAsia" w:ascii="Times New Roman" w:hAnsi="Times New Roman"/>
          <w:b/>
          <w:bCs/>
          <w:sz w:val="28"/>
          <w:szCs w:val="28"/>
        </w:rPr>
        <w:t>数据合规和隐私保护</w:t>
      </w:r>
    </w:p>
    <w:p w14:paraId="6B50B3B3">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w:t>
      </w:r>
      <w:r>
        <w:rPr>
          <w:rFonts w:hint="eastAsia" w:ascii="Times New Roman" w:hAnsi="Times New Roman"/>
          <w:b/>
          <w:bCs/>
          <w:sz w:val="28"/>
          <w:szCs w:val="28"/>
        </w:rPr>
        <w:tab/>
      </w:r>
      <w:r>
        <w:rPr>
          <w:rFonts w:hint="eastAsia" w:ascii="Times New Roman" w:hAnsi="Times New Roman"/>
          <w:b/>
          <w:bCs/>
          <w:sz w:val="28"/>
          <w:szCs w:val="28"/>
        </w:rPr>
        <w:t>双层监管法律体系</w:t>
      </w:r>
    </w:p>
    <w:p w14:paraId="120AC5ED">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加拿大对医疗器械领域个人信息与健康数据实施联邦与省级协同监管。联邦层面以《个人信息保护与电子文档法》（PIPEDA）为全国性基准规则，规制商业活动中个人信息的收集、使用与跨境传输行为，由加拿大隐私专员办公室（OPC）统一负责执法检查与争议裁决。针对医疗器械场景高频涉及的个人健康信息（PHI），安大略、阿尔伯塔等省份另行颁布专项健康信息保护立法，设定严于通用标准的管控要求，在辖区内开展业务的经营主体须同步遵从省级规则。数据隐私监管与加拿大卫生部医疗器械安全监管形成衔接机制，上市后监测、不良事件上报等法定数据处理活动，须同时满足器械监管与隐私保护双重要求。</w:t>
      </w:r>
    </w:p>
    <w:p w14:paraId="4257DE27">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法律责任</w:t>
      </w:r>
    </w:p>
    <w:p w14:paraId="3FF25BD4">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违规主体将面临多层级法律后果。OPC可依法作出整改指令、公开谴责，并处最高10万加元的行政罚款；情节严重触犯刑事法律的，追究相应刑事责任。重大隐私违法记录将纳入医疗器械合规信用档案，可能触发许可证存续复核程序。</w:t>
      </w:r>
    </w:p>
    <w:p w14:paraId="4FB9AFCD">
      <w:pPr>
        <w:pStyle w:val="26"/>
        <w:numPr>
          <w:ilvl w:val="0"/>
          <w:numId w:val="3"/>
        </w:numPr>
        <w:spacing w:before="120" w:beforeLines="50" w:after="120" w:afterLines="50" w:line="360" w:lineRule="auto"/>
        <w:jc w:val="both"/>
        <w:rPr>
          <w:rFonts w:ascii="Times New Roman" w:hAnsi="Times New Roman"/>
          <w:b/>
          <w:bCs/>
          <w:sz w:val="28"/>
          <w:szCs w:val="28"/>
        </w:rPr>
      </w:pPr>
      <w:r>
        <w:rPr>
          <w:rFonts w:hint="eastAsia" w:ascii="Times New Roman" w:hAnsi="Times New Roman"/>
          <w:b/>
          <w:bCs/>
          <w:sz w:val="28"/>
          <w:szCs w:val="28"/>
        </w:rPr>
        <w:t>贸易救济与调查</w:t>
      </w:r>
    </w:p>
    <w:p w14:paraId="219A38DF">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w:t>
      </w:r>
      <w:r>
        <w:rPr>
          <w:rFonts w:hint="eastAsia" w:ascii="Times New Roman" w:hAnsi="Times New Roman"/>
          <w:b/>
          <w:bCs/>
          <w:sz w:val="28"/>
          <w:szCs w:val="28"/>
        </w:rPr>
        <w:tab/>
      </w:r>
      <w:r>
        <w:rPr>
          <w:rFonts w:hint="eastAsia" w:ascii="Times New Roman" w:hAnsi="Times New Roman"/>
          <w:b/>
          <w:bCs/>
          <w:sz w:val="28"/>
          <w:szCs w:val="28"/>
        </w:rPr>
        <w:t>关税壁垒与税则适用</w:t>
      </w:r>
    </w:p>
    <w:p w14:paraId="34847DFB">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加拿大医疗器械进口关税由《海关税则》统一规制，按产品功能归入第90章税目体系，实施差异化税率管理。多数诊断、治疗类精密医用设备适用最惠国零关税税率。特定医疗用途的钢铁衍生类器械，可依《钢铁衍生货物附加税豁免令》申请附加税减免。 </w:t>
      </w:r>
    </w:p>
    <w:p w14:paraId="59E1DE26">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关税优惠方面，加拿大通过美墨加协定（USMCA）、全面与进步跨太平洋伙伴关系协定（CPTPP）等自贸安排对缔约方实施关税减让，非缔约方企业不享受相关优惠。进口企业须准确完成税则归类，因归类争议引发的关税调整风险，由进口商自行承担。</w:t>
      </w:r>
    </w:p>
    <w:p w14:paraId="49143B16">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反倾销与反补贴调查机制</w:t>
      </w:r>
    </w:p>
    <w:p w14:paraId="282B8852">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加拿大反倾销、反补贴执法以《特别进口措施法》（SIMA）为核心依据，由加拿大边境服务局（CBSA）与加拿大国际贸易法庭（CITT）分工协作。CBSA负责调查进口产品是否存在倾销或补贴行为并测算幅度；CITT负责认定上述行为是否对加拿大国内产业造成实质损害或损害威胁。 </w:t>
      </w:r>
    </w:p>
    <w:p w14:paraId="291976A6">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调查通常由加拿大本土生产商申诉启动，经立案、初裁、实地核查、终裁等程序，终裁征税措施有效期原则上不少于5年。截至目前医疗器械领域未出现大规模反倾销反补贴案件，但出口企业仍须规范定价策略，确保出口价格不低于正常价值，保留完整成本核算与交易凭证以备核查。</w:t>
      </w:r>
    </w:p>
    <w:p w14:paraId="50E9955F">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3.</w:t>
      </w:r>
      <w:r>
        <w:rPr>
          <w:rFonts w:hint="eastAsia" w:ascii="Times New Roman" w:hAnsi="Times New Roman"/>
          <w:b/>
          <w:bCs/>
          <w:sz w:val="28"/>
          <w:szCs w:val="28"/>
        </w:rPr>
        <w:tab/>
      </w:r>
      <w:r>
        <w:rPr>
          <w:rFonts w:hint="eastAsia" w:ascii="Times New Roman" w:hAnsi="Times New Roman"/>
          <w:b/>
          <w:bCs/>
          <w:sz w:val="28"/>
          <w:szCs w:val="28"/>
        </w:rPr>
        <w:t>生物安全与口岸管制</w:t>
      </w:r>
    </w:p>
    <w:p w14:paraId="2C1439E6">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 xml:space="preserve">普通医疗器械不适用动植物检疫程序，但含有人体生物样本、活性生物成分的体外诊断类器械，须符合加拿大生物安全监管要求，进口前完成相应安全评估与备案。 </w:t>
      </w:r>
    </w:p>
    <w:p w14:paraId="720360CD">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口岸通关环节，CBSA有权对涉嫌违反医疗器械监管规定的货物采取扣留措施，并移送加拿大卫生部边境中心复核，卫生部原则上在2个工作日内反馈核查意见。因生物安全风险被暂扣的产品，未经核准不得擅自提离或转运。针对临床急需的短缺医疗器械，可通过特殊进口框架附条件入境，但须履行提前5个工作日通知义务。</w:t>
      </w:r>
    </w:p>
    <w:p w14:paraId="158E4AD8">
      <w:pPr>
        <w:pStyle w:val="26"/>
        <w:numPr>
          <w:ilvl w:val="1"/>
          <w:numId w:val="1"/>
        </w:numPr>
        <w:spacing w:before="120" w:beforeLines="50" w:after="120" w:afterLines="50" w:line="360" w:lineRule="auto"/>
        <w:ind w:firstLine="562" w:firstLineChars="200"/>
        <w:jc w:val="center"/>
        <w:rPr>
          <w:rFonts w:ascii="Times New Roman" w:hAnsi="Times New Roman"/>
          <w:b/>
          <w:bCs/>
          <w:sz w:val="28"/>
          <w:szCs w:val="28"/>
          <w:lang w:val="en-GB"/>
        </w:rPr>
      </w:pPr>
      <w:r>
        <w:rPr>
          <w:rFonts w:hint="eastAsia" w:ascii="Times New Roman" w:hAnsi="Times New Roman"/>
          <w:b/>
          <w:bCs/>
          <w:sz w:val="28"/>
          <w:szCs w:val="28"/>
          <w:lang w:val="en-GB"/>
        </w:rPr>
        <w:t xml:space="preserve"> 南美地区</w:t>
      </w:r>
    </w:p>
    <w:p w14:paraId="0ED9F479">
      <w:pPr>
        <w:pStyle w:val="26"/>
        <w:numPr>
          <w:ilvl w:val="2"/>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巴西</w:t>
      </w:r>
    </w:p>
    <w:p w14:paraId="496C225D">
      <w:pPr>
        <w:pStyle w:val="26"/>
        <w:numPr>
          <w:ilvl w:val="0"/>
          <w:numId w:val="4"/>
        </w:numPr>
        <w:spacing w:before="120" w:beforeLines="50" w:after="120" w:afterLines="50" w:line="360" w:lineRule="auto"/>
        <w:jc w:val="both"/>
        <w:rPr>
          <w:rFonts w:ascii="Times New Roman" w:hAnsi="Times New Roman"/>
          <w:b/>
          <w:bCs/>
          <w:sz w:val="28"/>
          <w:szCs w:val="28"/>
        </w:rPr>
      </w:pPr>
      <w:r>
        <w:rPr>
          <w:rFonts w:hint="eastAsia" w:ascii="Times New Roman" w:hAnsi="Times New Roman"/>
          <w:b/>
          <w:bCs/>
          <w:sz w:val="28"/>
          <w:szCs w:val="28"/>
        </w:rPr>
        <w:t>通关监管合规</w:t>
      </w:r>
    </w:p>
    <w:p w14:paraId="546F2A84">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巴西医疗器械进口卫生监管由国家卫生监督局（ANVISA）统筹，核心依据为RDC 81/2008、RDC 228/2018及RDC 751/2022等法规。产品入境前须完成对应风险等级的ANVISA注册或备案，进口主体需为巴西境内合法法人，持有有效CNPJ税号及对应经营范围的运营许可（AFE）。</w:t>
      </w:r>
    </w:p>
    <w:p w14:paraId="47BEF6E6">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清关环节需提交进口许可申请（LPCO），随附正式商业发票（不接受形式发票）、注册持有人出具的第三方进口授权书、无菌产品合格证明（如适用）、标签符合性文件等资料。所有进口批次均需通过ANVISA卫生检验程序，高风险产品实施逐批重点核查，低风险产品可适用简化核验流程。进口商需提前在ANVISA SEI系统完成主体备案，提交企业资质、社保合规等证明文件，未完成备案的主体无法启动清关程序。</w:t>
      </w:r>
    </w:p>
    <w:p w14:paraId="0412B372">
      <w:pPr>
        <w:pStyle w:val="26"/>
        <w:numPr>
          <w:ilvl w:val="0"/>
          <w:numId w:val="4"/>
        </w:numPr>
        <w:spacing w:before="120" w:beforeLines="50" w:after="120" w:afterLines="50" w:line="360" w:lineRule="auto"/>
        <w:jc w:val="both"/>
        <w:rPr>
          <w:rFonts w:ascii="Times New Roman" w:hAnsi="Times New Roman"/>
          <w:b/>
          <w:bCs/>
          <w:sz w:val="28"/>
          <w:szCs w:val="28"/>
        </w:rPr>
      </w:pPr>
      <w:r>
        <w:rPr>
          <w:rFonts w:hint="eastAsia" w:ascii="Times New Roman" w:hAnsi="Times New Roman"/>
          <w:b/>
          <w:bCs/>
          <w:sz w:val="28"/>
          <w:szCs w:val="28"/>
        </w:rPr>
        <w:t>医疗器械上市准入体系</w:t>
      </w:r>
    </w:p>
    <w:p w14:paraId="10C42F20">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巴西医疗器械上市准入由ANVISA实施分级管理，核心法规为RDC 751/2022（通用医疗器械）与RDC 830/2023（体外诊断试剂）。产品按固有风险从低到高分为I、II、III、IV四类，分类规则涵盖侵入性、能量风险、使用场景等22项判定标准，分类存疑时由ANVISA最终裁定。</w:t>
      </w:r>
    </w:p>
    <w:p w14:paraId="7B4BA04F">
      <w:pPr>
        <w:spacing w:before="120" w:beforeLines="50" w:after="120" w:afterLines="50" w:line="360" w:lineRule="auto"/>
        <w:ind w:firstLine="560" w:firstLineChars="200"/>
        <w:jc w:val="both"/>
        <w:rPr>
          <w:rFonts w:ascii="Times New Roman" w:hAnsi="Times New Roman"/>
          <w:b/>
          <w:bCs/>
          <w:sz w:val="28"/>
          <w:szCs w:val="28"/>
        </w:rPr>
      </w:pPr>
      <w:r>
        <w:rPr>
          <w:rFonts w:hint="eastAsia" w:ascii="Times New Roman" w:hAnsi="Times New Roman"/>
          <w:sz w:val="28"/>
          <w:szCs w:val="28"/>
        </w:rPr>
        <w:t>准入路径分为两类：（1）备案制：适用于I、II类低中风险产品，提交简化技术资料即可完成，无固定有效期，ANVISA可因风险变化或违规情形撤销备案；（2）注册制：适用于III、IV类高风险产品，需提交完整技术档案，包括性能验证报告、标签说明书GMP证明文件等，部分高风险产品需附加巴西官方实验室的性能检测，注册有效期为10年，期满可申请续期。此外，部分有源医疗器械需额外通过巴西国家计量、质量与技术研究院（INMETRO）主导的巴西合格评定体系（SBAC）认证。</w:t>
      </w:r>
    </w:p>
    <w:p w14:paraId="518C11A4">
      <w:pPr>
        <w:pStyle w:val="26"/>
        <w:numPr>
          <w:ilvl w:val="0"/>
          <w:numId w:val="4"/>
        </w:numPr>
        <w:spacing w:before="120" w:beforeLines="50" w:after="120" w:afterLines="50" w:line="360" w:lineRule="auto"/>
        <w:jc w:val="both"/>
        <w:rPr>
          <w:rFonts w:ascii="Times New Roman" w:hAnsi="Times New Roman"/>
          <w:b/>
          <w:bCs/>
          <w:sz w:val="28"/>
          <w:szCs w:val="28"/>
        </w:rPr>
      </w:pPr>
      <w:r>
        <w:rPr>
          <w:rFonts w:hint="eastAsia" w:ascii="Times New Roman" w:hAnsi="Times New Roman"/>
          <w:b/>
          <w:bCs/>
          <w:sz w:val="28"/>
          <w:szCs w:val="28"/>
        </w:rPr>
        <w:t>代理人制度</w:t>
      </w:r>
    </w:p>
    <w:p w14:paraId="1ACB9001">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依据巴西ANVISA监管规则，境外医疗器械制造商必须指定一名巴西境内的本地注册持有人（BRH），该要求为强制性规定，无例外情形。本地注册持有人需为巴西合法设立的法人实体，持有对应医疗器械经营范围的AFE资质，具备独立承担民事、行政及刑事责任的能力。</w:t>
      </w:r>
    </w:p>
    <w:p w14:paraId="4C5A59A3">
      <w:pPr>
        <w:spacing w:before="120" w:beforeLines="50" w:after="120" w:afterLines="50" w:line="360" w:lineRule="auto"/>
        <w:ind w:firstLine="560" w:firstLineChars="200"/>
        <w:jc w:val="both"/>
        <w:rPr>
          <w:rFonts w:ascii="Times New Roman" w:hAnsi="Times New Roman"/>
          <w:b/>
          <w:bCs/>
          <w:sz w:val="28"/>
          <w:szCs w:val="28"/>
        </w:rPr>
      </w:pPr>
      <w:r>
        <w:rPr>
          <w:rFonts w:hint="eastAsia" w:ascii="Times New Roman" w:hAnsi="Times New Roman"/>
          <w:sz w:val="28"/>
          <w:szCs w:val="28"/>
        </w:rPr>
        <w:t>本地注册持有人是制造商在巴西的法定责任主体，核心职责包括：以自身名义向ANVISA提交产品注册、备案及变更申请，对产品全生命周期合规承担连带责任；负责申请文件的翻译、公证与档案维护，及时向ANVISA报告产品设计、生产地址、标签等重大变更；落地执行上市后警戒、不良事件上报及产品召回工作；配合ANVISA的监督检查、抽样检验及案件调查，是监管执法的直接追责对象</w:t>
      </w:r>
    </w:p>
    <w:p w14:paraId="4BAA69D5">
      <w:pPr>
        <w:pStyle w:val="26"/>
        <w:numPr>
          <w:ilvl w:val="0"/>
          <w:numId w:val="4"/>
        </w:numPr>
        <w:spacing w:before="120" w:beforeLines="50" w:after="120" w:afterLines="50" w:line="360" w:lineRule="auto"/>
        <w:jc w:val="both"/>
        <w:rPr>
          <w:rFonts w:ascii="Times New Roman" w:hAnsi="Times New Roman"/>
          <w:b/>
          <w:bCs/>
          <w:sz w:val="28"/>
          <w:szCs w:val="28"/>
        </w:rPr>
      </w:pPr>
      <w:r>
        <w:rPr>
          <w:rFonts w:hint="eastAsia" w:ascii="Times New Roman" w:hAnsi="Times New Roman"/>
          <w:b/>
          <w:bCs/>
          <w:sz w:val="28"/>
          <w:szCs w:val="28"/>
        </w:rPr>
        <w:t>销售流通合规</w:t>
      </w:r>
    </w:p>
    <w:p w14:paraId="03985E2B">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在巴西从事医疗器械进口、储存、分销、运输等经营活动，必须取得ANVISA颁发的运营许可（AFE），依据为RDC 16/2014等法规。AFE按经营活动类型区分资质范围：批发/分销资质面向法人主体或医疗专业人员开展业务，零售资质面向终端个人消费者，二者审核标准与许可范围相互独立，零售资质需单独申请，监管要求更为严格。</w:t>
      </w:r>
    </w:p>
    <w:p w14:paraId="5C783A2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流通模式以经销商分销为主，境外制造商不可直接向巴西终端客户销售，需通过持有对应AFE资质的本地主体开展业务。公立医疗市场（SUS系统）采购需由具备投标资质的经销商参与，私立医疗市场可通过多级分销网络覆盖。销售对象方面，III、IV类高风险医疗器械仅限销售给医疗机构或具备执业资质的医疗专业人员；I、II类低风险产品可凭零售资质向个人消费者销售。</w:t>
      </w:r>
    </w:p>
    <w:p w14:paraId="1B322D5D">
      <w:pPr>
        <w:pStyle w:val="26"/>
        <w:numPr>
          <w:ilvl w:val="0"/>
          <w:numId w:val="4"/>
        </w:numPr>
        <w:spacing w:before="120" w:beforeLines="50" w:after="120" w:afterLines="50" w:line="360" w:lineRule="auto"/>
        <w:jc w:val="both"/>
        <w:rPr>
          <w:rFonts w:ascii="Times New Roman" w:hAnsi="Times New Roman"/>
          <w:b/>
          <w:bCs/>
          <w:sz w:val="28"/>
          <w:szCs w:val="28"/>
        </w:rPr>
      </w:pPr>
      <w:r>
        <w:rPr>
          <w:rFonts w:ascii="Times New Roman" w:hAnsi="Times New Roman"/>
          <w:b/>
          <w:bCs/>
          <w:sz w:val="28"/>
          <w:szCs w:val="28"/>
        </w:rPr>
        <w:t>医疗器械广告与促销合规</w:t>
      </w:r>
    </w:p>
    <w:p w14:paraId="538FCEC1">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巴西医疗器械广告监管的法律依据包括《卫生监督法》、ANVISA组织法、《消费者保护法》、RDC 751/2022以及巴西广告自律准则（CBAP）。核心原则为：所有广告及推广宣传的内容，必须与产品在ANVISA注册或备案时提交的信息完全一致，不得超出获批的适用范围、功效表述与使用人群。</w:t>
      </w:r>
    </w:p>
    <w:p w14:paraId="4EFBB37B">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受众层面实行分级限制：III、IV类高风险医疗器械的广告仅可面向医疗专业人员发布，禁止通过大众媒介向普通公众宣传；I、II类低风险产品面向公众的广告，不得含有保证性疗效、误导性表述及虚假对比内容。医疗专业人员参与产品推广活动，需符合联邦医学委员会（CFM）的透明化要求，按规定申报利益关联。部分高风险产品的专业推广材料需提前向ANVISA报备。</w:t>
      </w:r>
    </w:p>
    <w:p w14:paraId="0F82E4FA">
      <w:pPr>
        <w:pStyle w:val="26"/>
        <w:numPr>
          <w:ilvl w:val="0"/>
          <w:numId w:val="4"/>
        </w:numPr>
        <w:spacing w:before="120" w:beforeLines="50" w:after="120" w:afterLines="50" w:line="360" w:lineRule="auto"/>
        <w:jc w:val="both"/>
        <w:rPr>
          <w:rFonts w:ascii="Times New Roman" w:hAnsi="Times New Roman"/>
          <w:b/>
          <w:bCs/>
          <w:sz w:val="28"/>
          <w:szCs w:val="28"/>
        </w:rPr>
      </w:pPr>
      <w:r>
        <w:rPr>
          <w:rFonts w:hint="eastAsia" w:ascii="Times New Roman" w:hAnsi="Times New Roman"/>
          <w:b/>
          <w:bCs/>
          <w:sz w:val="28"/>
          <w:szCs w:val="28"/>
        </w:rPr>
        <w:t>反商业贿赂与HCP交往合规</w:t>
      </w:r>
    </w:p>
    <w:p w14:paraId="069D4BB8">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巴西反商业贿赂核心法规为第12.846/2013号《反商业贿赂法》（又称“《清洁公司法》”），医疗领域交往还需遵守联邦医学委员会（CFM）第2.386/2024号决议。禁止直接或通过第三方，向公共部门采购人员、医疗机构管理人员、医疗专业人员提供任何不正当利益，包括回扣、不当礼品、高额赞助、虚假咨询服务费等。</w:t>
      </w:r>
    </w:p>
    <w:p w14:paraId="133432E7">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医疗专业人员（HCP）交往需满足透明化要求：HCP参与企业学术会议、担任讲者、提供技术咨询等活动，需通过CFM虚拟系统申报利益关联。违规企业将面临最高达年营业额20%的行政罚款、禁止参与公共采购等处罚，相关责任人还可能承担刑事责任；违规医疗人员将面临职业惩戒。</w:t>
      </w:r>
    </w:p>
    <w:p w14:paraId="1FB31AFD">
      <w:pPr>
        <w:pStyle w:val="26"/>
        <w:numPr>
          <w:ilvl w:val="0"/>
          <w:numId w:val="4"/>
        </w:numPr>
        <w:spacing w:before="120" w:beforeLines="50" w:after="120" w:afterLines="50" w:line="360" w:lineRule="auto"/>
        <w:jc w:val="both"/>
        <w:rPr>
          <w:rFonts w:ascii="Times New Roman" w:hAnsi="Times New Roman"/>
          <w:b/>
          <w:bCs/>
          <w:sz w:val="28"/>
          <w:szCs w:val="28"/>
        </w:rPr>
      </w:pPr>
      <w:r>
        <w:rPr>
          <w:rFonts w:hint="eastAsia" w:ascii="Times New Roman" w:hAnsi="Times New Roman"/>
          <w:b/>
          <w:bCs/>
          <w:sz w:val="28"/>
          <w:szCs w:val="28"/>
        </w:rPr>
        <w:t>上市后警戒与产品责任</w:t>
      </w:r>
    </w:p>
    <w:p w14:paraId="3843B41A">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巴西医疗器械上市后警戒依据RDC 67/2009号法规执行，由ANVISA的Notivisa系统统一管理不良事件与技术投诉上报。注册持有人必须建立覆盖全销售渠道的上市后警戒体系，主动收集产品不良事件、故障投诉等信息，按规定时限通过Notivisa系统上报，其中严重不良事件需在24小时内提交报告。</w:t>
      </w:r>
    </w:p>
    <w:p w14:paraId="18612157">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若发现产品存在安全缺陷，注册持有人需主动启动风险控制措施，包括产品警示、使用限制或召回。召回计划需及时通报ANVISA，并通知所有下游经销商与使用单位，配合监管部门监督召回执行效果。</w:t>
      </w:r>
    </w:p>
    <w:p w14:paraId="08ECD8D8">
      <w:pPr>
        <w:spacing w:before="120" w:beforeLines="50" w:after="120" w:afterLines="50" w:line="360" w:lineRule="auto"/>
        <w:jc w:val="both"/>
        <w:rPr>
          <w:rFonts w:ascii="Times New Roman" w:hAnsi="Times New Roman"/>
          <w:b/>
          <w:bCs/>
          <w:sz w:val="28"/>
          <w:szCs w:val="28"/>
        </w:rPr>
      </w:pPr>
      <w:r>
        <w:rPr>
          <w:rFonts w:hint="eastAsia" w:ascii="Times New Roman" w:hAnsi="Times New Roman"/>
          <w:sz w:val="28"/>
          <w:szCs w:val="28"/>
          <w:lang w:val="en-US"/>
        </w:rPr>
        <w:t>产品责任方面，依据巴西《消费者保护法》，因医疗器械缺陷造成人身伤害或财产损失的，境外制造商与本地注册持有人承担连带赔偿责任。ANVISA可对违规产品采取暂停销售、责令整改、撤销注册等行政处罚。</w:t>
      </w:r>
    </w:p>
    <w:p w14:paraId="1C319457">
      <w:pPr>
        <w:pStyle w:val="26"/>
        <w:numPr>
          <w:ilvl w:val="0"/>
          <w:numId w:val="4"/>
        </w:numPr>
        <w:spacing w:before="120" w:beforeLines="50" w:after="120" w:afterLines="50" w:line="360" w:lineRule="auto"/>
        <w:jc w:val="both"/>
        <w:rPr>
          <w:rFonts w:ascii="Times New Roman" w:hAnsi="Times New Roman"/>
          <w:b/>
          <w:bCs/>
          <w:sz w:val="28"/>
          <w:szCs w:val="28"/>
        </w:rPr>
      </w:pPr>
      <w:r>
        <w:rPr>
          <w:rFonts w:hint="eastAsia" w:ascii="Times New Roman" w:hAnsi="Times New Roman"/>
          <w:b/>
          <w:bCs/>
          <w:sz w:val="28"/>
          <w:szCs w:val="28"/>
        </w:rPr>
        <w:t>数据合规和隐私保护</w:t>
      </w:r>
    </w:p>
    <w:p w14:paraId="35148547">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巴西个人数据保护的核心法律为第13.709/2018号《通用数据保护法》（LGPD），由国家数据保护局（ANPD）负责执法。医疗器械企业在运营过程中处理患者个人信息、医疗健康数据等个人数据，均需遵守LGPD的各项要求。</w:t>
      </w:r>
    </w:p>
    <w:p w14:paraId="6F49CD0E">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企业需为数据处理活动确立合法基础，如履行医疗服务合同、满足法定监管义务、取得数据主体明确同意等；需采取技术与管理双重措施保障数据安全，防止数据泄露、篡改或丢失，并指定数据保护负责人（DPO）作为与监管机构、数据主体的沟通渠道。医疗健康数据属于敏感个人数据，适用更严格的处理规则，未经法定许可不得跨境传输；用于产品警戒、质量改进的患者数据，需进行去标识化处理，确保无法识别到特定个人。</w:t>
      </w:r>
    </w:p>
    <w:p w14:paraId="7D4C913C">
      <w:pPr>
        <w:pStyle w:val="26"/>
        <w:numPr>
          <w:ilvl w:val="0"/>
          <w:numId w:val="3"/>
        </w:numPr>
        <w:spacing w:before="120" w:beforeLines="50" w:after="120" w:afterLines="50" w:line="360" w:lineRule="auto"/>
        <w:jc w:val="both"/>
        <w:rPr>
          <w:rFonts w:ascii="Times New Roman" w:hAnsi="Times New Roman"/>
          <w:b/>
          <w:bCs/>
          <w:sz w:val="28"/>
          <w:szCs w:val="28"/>
        </w:rPr>
      </w:pPr>
      <w:r>
        <w:rPr>
          <w:rFonts w:hint="eastAsia" w:ascii="Times New Roman" w:hAnsi="Times New Roman"/>
          <w:b/>
          <w:bCs/>
          <w:sz w:val="28"/>
          <w:szCs w:val="28"/>
        </w:rPr>
        <w:t>贸易救济与调查</w:t>
      </w:r>
    </w:p>
    <w:p w14:paraId="7D6CB470">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关税方面，巴西对医疗器械征收进口关税，部分产品可适用南方共同市场关税优惠税率，同时存在针对特定产品的免税政策。</w:t>
      </w:r>
    </w:p>
    <w:p w14:paraId="4E532073">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贸易救济方面，巴西外贸委员会执行委员会（GECEX）负责反倾销、反补贴调查，已对中国部分医疗器械产品实施反倾销措施，征收期限为5年的反倾销税，并定期启动日落复审调查。</w:t>
      </w:r>
    </w:p>
    <w:p w14:paraId="4C0AA4B1">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生物安全与供应链方面，进口无菌、植入类医疗器械需提供符合巴西标准的无菌证明、无疫文件。近年巴西持续强化医疗供应链安全审查，部分品类存在本地化生产引导政策。</w:t>
      </w:r>
    </w:p>
    <w:p w14:paraId="5A847BAE">
      <w:pPr>
        <w:pStyle w:val="26"/>
        <w:numPr>
          <w:ilvl w:val="2"/>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墨西哥</w:t>
      </w:r>
    </w:p>
    <w:p w14:paraId="2D28F85F">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（一）通关监管合规</w:t>
      </w:r>
    </w:p>
    <w:p w14:paraId="17CD2091">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墨西哥医疗器械入境由国家海关总局（ANAM）与联邦卫生风险保护委员会（COFEPRIS）联合监管，实行“先注册、后入关”的管理机制。产品入境前须先行取得COFEPRIS卫生注册证书，并单独申请卫生进口许可，无许可入境将被认定为非法流入。</w:t>
      </w:r>
    </w:p>
    <w:p w14:paraId="33671C2A">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通关文件须包含：原产国主管部门出具的自由销售证书、ISO 13485质量管理体系认证、符合NOM-137-SSA1-2025标准的西班牙语标签与使用说明书、原产地证明文件，以及进口商的联邦税号（RFC）。自2025年1月起，所有进口申报强制填报进口商RFC信息。</w:t>
      </w:r>
    </w:p>
    <w:p w14:paraId="15B047A9">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产品须全面符合墨西哥官方标准（NOMs）的技术要求。属于《美国-墨西哥-加拿大协定》（USMCA）原产地范围的产品，凭原产地证书可享受零关税优惠。违规通关将面临货物暂扣、按货值比例罚款、没收货物，情节严重的追究刑事责任。</w:t>
      </w:r>
    </w:p>
    <w:p w14:paraId="26B9CE0D">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（二）医疗器械上市准入体系</w:t>
      </w:r>
    </w:p>
    <w:p w14:paraId="41229048">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墨西哥医疗器械上市准入由COFEPRIS统一实施，以风险分级为核心构建差异化注册制度。根据产品侵入程度、使用时长和潜在风险，划分为I、II、III三个风险等级，体外诊断产品执行单独分类规则。</w:t>
      </w:r>
    </w:p>
    <w:p w14:paraId="6605DF8A">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I类为低风险非侵入产品，多数适用备案制（Aviso），行政审查周期约30个工作日，仅需提交基础技术文件。II类为中风险产品，通常为短期侵入人体（30天以内）的器械，执行完整卫生注册程序，技术审查周期约120个工作日，需提交生物相容性、灭菌验证等技术资料。III类为高风险产品，包括长期植入器械、生命支持设备等，审查周期约180个工作日，须提交完整临床证据，COFEPRIS可视情况开展生产现场核查。</w:t>
      </w:r>
    </w:p>
    <w:p w14:paraId="0A5D929E">
      <w:pPr>
        <w:spacing w:before="120" w:beforeLines="50" w:after="120" w:afterLines="50" w:line="360" w:lineRule="auto"/>
        <w:ind w:firstLine="560" w:firstLineChars="200"/>
        <w:jc w:val="both"/>
        <w:rPr>
          <w:rFonts w:ascii="Times New Roman" w:hAnsi="Times New Roman"/>
          <w:b/>
          <w:bCs/>
          <w:sz w:val="28"/>
          <w:szCs w:val="28"/>
          <w:lang w:val="en-US"/>
        </w:rPr>
      </w:pPr>
      <w:r>
        <w:rPr>
          <w:rFonts w:hint="eastAsia" w:ascii="Times New Roman" w:hAnsi="Times New Roman"/>
          <w:sz w:val="28"/>
          <w:szCs w:val="28"/>
          <w:lang w:val="en-US"/>
        </w:rPr>
        <w:t>卫生注册证书有效期为5年，到期前企业可申请续展。注册信息发生变更的，须及时向COFEPRIS办理变更手续。</w:t>
      </w:r>
    </w:p>
    <w:p w14:paraId="42CE76F0">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（三）代理人制度</w:t>
      </w:r>
    </w:p>
    <w:p w14:paraId="05B5B03B">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墨西哥法律强制要求境外医疗器械制造商指定墨西哥境内注册的法人实体作为法定卫生代表（Responsable Sanitario），作为与监管机构对接的唯一法定主体。</w:t>
      </w:r>
    </w:p>
    <w:p w14:paraId="26366F26">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法定代表须具备COFEPRIS认可的卫生许可资质，拥有固定办公场所、有效RFC税号及专职合规人员，且同一实体不得同时担任3家以上无关联制造商的授权代表，避免责任稀释。其法定职责包括：提交注册申请、接收监管文书、协调技术审查、承担上市后不良事件报告与召回联络义务。</w:t>
      </w:r>
    </w:p>
    <w:p w14:paraId="1152C2A0">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注册证书可由境外制造商持有，本地代表仅承担法定联络职能；也可由本地进口商作为注册持有人。代理关系终止时，原注册证书自动失效，须重新指定代理人并办理变更手续。</w:t>
      </w:r>
    </w:p>
    <w:p w14:paraId="2F0121FC">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（四）销售流通合规</w:t>
      </w:r>
    </w:p>
    <w:p w14:paraId="59817A51">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在墨西哥从事医疗器械经营活动，须取得COFEPRIS核发的卫生许可证（Licencia Sanitaria），许可证载明经营范围与产品类别，未单独划分批发与零售资质类别，但经营活动不得超出许可范围。</w:t>
      </w:r>
    </w:p>
    <w:p w14:paraId="573E50FD">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流通模式以授权经销商分销为主，境外制造商不得直接向墨西哥境内终端客户销售产品，须通过本地授权实体开展业务。部分低风险家用I类器械可通过药店、电商等零售渠道面向公众销售。</w:t>
      </w:r>
    </w:p>
    <w:p w14:paraId="0CB5D267">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销售对象按风险等级区分：II类、III类医疗器械仅限销售给具备合法资质的医疗机构、诊疗机构或持证医疗卫生专业人员；I类低风险家用器械可直接销售给个人消费者。</w:t>
      </w:r>
    </w:p>
    <w:p w14:paraId="365580C0">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所有经营主体须建立完整的进销存台账与追溯体系，确保产品全链条可追溯至生产源头。COFEPRIS定期对流通环节开展监督检查。</w:t>
      </w:r>
    </w:p>
    <w:p w14:paraId="09391C98">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（五）医疗器械广告与促销合规</w:t>
      </w:r>
    </w:p>
    <w:p w14:paraId="6F0ABAB3">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墨西哥医疗器械广告由COFEPRIS专属审批监管，覆盖传统媒体、社交媒体、学术推广等所有宣传形式。</w:t>
      </w:r>
    </w:p>
    <w:p w14:paraId="09A949CF">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面向社会公众发布医疗器械广告，须事先向COFEPRIS申请广告许可。广告内容须与产品注册信息一致，清晰标注卫生注册号，不得含有虚假夸大表述，不得诱导公众自我诊断或自行使用高风险器械，须提示产品使用风险。</w:t>
      </w:r>
    </w:p>
    <w:p w14:paraId="3E814984">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面向医疗卫生专业人员的宣传推广实行告知备案制，发布前向COFEPRIS提交告知文件即可，内容可包含技术参数、临床研究数据等专业信息。</w:t>
      </w:r>
    </w:p>
    <w:p w14:paraId="00EE1317">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所有促销活动、学术会议赞助、产品展示等均纳入广告监管范畴。未经许可发布广告、发布内容与核准不符的，COFEPRIS可责令停止发布、处以罚款，情节严重的暂停或撤销产品注册。</w:t>
      </w:r>
    </w:p>
    <w:p w14:paraId="485F0D6E">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（六）反商业贿赂与HCP交往合规</w:t>
      </w:r>
    </w:p>
    <w:p w14:paraId="01931805">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墨西哥《联邦刑法典》第22条将向公职人员行贿列为刑事犯罪，各州刑法同步规制辖内贿赂行为。墨西哥已加入《联合国反腐败公约》与《美洲反腐败公约》，反贿赂执法覆盖联邦与地方两级公职人员。</w:t>
      </w:r>
    </w:p>
    <w:p w14:paraId="030D3BB5">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医疗卫生领域中，不得向公立医疗机构工作人员、卫生监管部门公职人员直接或间接提供金钱、礼品、招待等不正当利益，以换取产品采购、准入审批等方面的便利。私人主体之间的商业贿赂暂不纳入刑事处罚，但仍受《联邦消费者保护法》反不正当竞争条款约束。</w:t>
      </w:r>
    </w:p>
    <w:p w14:paraId="2DB83199">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与HCP交往应遵循合理、透明、适度原则。学术赞助、样品提供、学术会议支持须与业务相关且价值合理，不得与产品采购量、使用量挂钩。行贿犯罪可对单位判处罚金，对直接责任人处以监禁。</w:t>
      </w:r>
    </w:p>
    <w:p w14:paraId="0E538B51">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（七）上市后警戒与产品责任</w:t>
      </w:r>
    </w:p>
    <w:p w14:paraId="36146D9E">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墨西哥依据NOM-240-SSA1技术警戒标准建立医疗器械上市后监测体系，由产品注册持有人或其本地法定代表承担主体责任。</w:t>
      </w:r>
    </w:p>
    <w:p w14:paraId="48BE17A8">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企业须建立不良事件监测机制，发现与产品相关的严重不良事件，须立即向国家药物警戒中心（CNFV）报告；一般不良事件按规定时限书面上报。报告内容须包含事件经过、产品信息、采取措施及调查结论。</w:t>
      </w:r>
    </w:p>
    <w:p w14:paraId="3F9E74AD">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经确认产品存在设计、制造缺陷或安全隐患的，企业须主动启动召回程序，第一时间通知COFEPRIS、所有下游经销商与使用单位，根据风险等级采取警示、维修、更换、撤回、销毁等处置措施，并定期提交进展报告。</w:t>
      </w:r>
    </w:p>
    <w:p w14:paraId="3CEEF939">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因产品缺陷造成人身、财产损害的，境外制造商与本地法定代理人承担连带赔偿责任。受害人可依据《联邦消费者保护法》主张损害赔偿，监管部门可同时作出行政处罚。</w:t>
      </w:r>
    </w:p>
    <w:p w14:paraId="36DBDA85">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（八）数据合规和隐私保护</w:t>
      </w:r>
    </w:p>
    <w:p w14:paraId="2B5AFFDA">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墨西哥个人数据保护适用《联邦个人数据保护法》（LFPDPPP），由国家透明、信息获取与个人数据保护局（INAI）负责执法。</w:t>
      </w:r>
    </w:p>
    <w:p w14:paraId="5D16185F">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患者健康信息、诊疗数据属于敏感个人数据，适用最高等级保护规则。收集、处理健康数据原则上须取得数据主体的明示书面同意，法律法规另有规定的除外。</w:t>
      </w:r>
    </w:p>
    <w:p w14:paraId="33B1EDF9">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数据控制者须履行以下核心义务：以清晰易懂的方式向数据主体告知数据处理目的与方式；保障数据主体的访问、更正、删除、反对（ARCO）权利；建立适配的技术与管理安全措施，防止数据泄露、篡改或滥用。</w:t>
      </w:r>
    </w:p>
    <w:p w14:paraId="4C032DCB">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向墨西哥境外传输健康数据，须符合法定例外情形，或取得数据主体明确同意，或通过签署标准合同条款、约束性公司规则等方式确保数据保护水平。</w:t>
      </w:r>
    </w:p>
    <w:p w14:paraId="31009166">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（九）贸易救济与调查</w:t>
      </w:r>
    </w:p>
    <w:p w14:paraId="7DD6C8EC">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墨西哥关税体系中，医疗器械按HS编码适用相应税率，USMCA缔约方原产产品凭原产地证明可享受零关税待遇，非自贸伙伴适用最惠国税率。进口环节另征收16%的增值税。</w:t>
      </w:r>
    </w:p>
    <w:p w14:paraId="33E701E4">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墨西哥《对外贸易法》确立反倾销与反补贴制度，若进口产品存在倾销或补贴情形并对墨西哥国内产业造成损害，可征收反倾销税或反补贴税。历史上墨西哥曾对部分中国工业品实施反倾销措施，企业应密切关注贸易救济调查动态。</w:t>
      </w:r>
    </w:p>
    <w:p w14:paraId="08DE6171">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技术性贸易壁垒主要体现为NOM强制标准，部分产品要求在墨西哥本地开展检测认证，标签与说明书强制使用西班牙语。涉及生物源性材料的医疗器械，须符合卫生检疫与生物安全要求，提供完整供应链追溯文件，海关可实施额外查验。企业可通过WTO/TBT委员会渠道对不合理技术壁垒提出评议。</w:t>
      </w:r>
    </w:p>
    <w:p w14:paraId="2789A51E">
      <w:pPr>
        <w:pStyle w:val="26"/>
        <w:numPr>
          <w:ilvl w:val="2"/>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阿根廷</w:t>
      </w:r>
    </w:p>
    <w:p w14:paraId="27139042">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（一）通关监管合规</w:t>
      </w:r>
    </w:p>
    <w:p w14:paraId="3491FEAE">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阿根廷医疗器械进口通关由国家药品、食品与医疗技术管理局（ANMAT）与海关总署协同监管，实行风险分级通关机制。根据2025年第892号法令及2026年第236号决议，I、II类低中风险医疗器械及无需冷链的A、B类体外诊断试剂，适用“申报承诺制”的简化通关程序，企业凭卫生资质通过Themis平台提交进口声明即可办理清关。III、IV类高风险器械仍执行常规注册核验通关。</w:t>
      </w:r>
    </w:p>
    <w:p w14:paraId="5FE436B8">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进口主体须为已在ANMAT完成卫生资质备案的阿根廷本地企业，产品须事先完成ANMAT注册登记。货物到港前48小时内，进口商须通过ANMAT系统提交进口通知（Aviso de Importación），该通知具有宣誓声明效力且免缴行政规费。通关随附文件包括ANMAT注册证书、原产地证明、自由销售证明、西班牙语标签样张、运输单据等。涉及二手或翻新器械的，还须额外提供翻新资质证明及质量合格声明。</w:t>
      </w:r>
    </w:p>
    <w:p w14:paraId="5114250F">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阿根廷海关通过SIMI综合进口监控系统实施许可证管理，多数医疗器械适用自动进口许可，部分高敏感品类需申领非自动进口许可。</w:t>
      </w:r>
    </w:p>
    <w:p w14:paraId="0CDE7FBA">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（二）医疗器械上市准入体系</w:t>
      </w:r>
    </w:p>
    <w:p w14:paraId="4ED6BCCA">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阿根廷医疗器械上市准入由ANMAT统一负责，基于风险分级原则实施注册管理，参照国际医疗器械监管者论坛（IMDRF）分类标准，将产品划分为 I（低风险）、II（中低风险）、III（中高风险）、IV（高风险）四类，分类结果直接决定注册流程与审评周期。</w:t>
      </w:r>
    </w:p>
    <w:p w14:paraId="1F157065">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注册申请人须为阿根廷境内具备卫生资质的企业，境外制造商须通过本地注册持有人提交申请。核心申请文件包括：产品技术文档、质量管理体系认证（ISO 13485或等效GMP证书）、自由销售证明、西班牙语使用说明书、标签样张、上市历史报告、风险分析报告等。进口产品还须额外提交制造商出具的授权代表函与安全承诺函，文件须经海牙认证或领事认证。</w:t>
      </w:r>
    </w:p>
    <w:p w14:paraId="14859275">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I、II类产品适用简化注册程序，企业提交符合性声明后可快速获证；III、IV类产品须经过完整技术审评与临床数据核查。2025年起，已在ANMAT附录所列国家获批上市的I、II类产品，可凭监管等效认证加速准入。注册证书有效期内发生产品设计、生产工艺、标签标识等重大变更的，须提前向ANMAT申报变更。</w:t>
      </w:r>
    </w:p>
    <w:p w14:paraId="63505C15">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（三）代理人制度</w:t>
      </w:r>
    </w:p>
    <w:p w14:paraId="1CE979B5">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阿根廷实行强制本地代理人制度，境外医疗器械制造商不得直接向ANMAT申请注册，必须指定一家阿根廷境内实体作为授权代理人（Importador Autorizado），由其作为注册持有人承担产品在阿根廷境内的全部法律责任。</w:t>
      </w:r>
    </w:p>
    <w:p w14:paraId="43EED3B2">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授权代理人须具备ANMAT核发的对应风险等级卫生资质，拥有符合GMP要求的仓储与质量管理体系，并配备经认证的技术负责人。代理人核心职责包括：作为与ANMAT沟通的唯一法定主体，提交注册申请并跟进审评；建立产品全生命周期追溯体系；承担上市后警戒报告义务；配合监管部门的市场抽检与调查；负责产品召回的组织实施。</w:t>
      </w:r>
    </w:p>
    <w:p w14:paraId="3C3C1D52">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授权关系须通过正式的《代表函》与《承诺函》确立，两份文件可合并出具。《代表函》须明确制造商对代理人的授权范围、授权期限及产品明细；《承诺函》须由制造商出具，承诺向代理人及时通报全球范围内的产品召回、安全警示、注册状态变更等信息。文件须以西班牙语作成，经海牙认证或领事认证后方可生效。代理人变更须提前向ANMAT备案并完成注册持有人转移程序。</w:t>
      </w:r>
    </w:p>
    <w:p w14:paraId="693D9B78">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（四）销售流通合规</w:t>
      </w:r>
    </w:p>
    <w:p w14:paraId="7B822BC6">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阿根廷医疗器械经营实行卫生资质许可制度（Habilitación Sanitaria），由ANMAT及省级卫生主管部门分级核发。从事进口、批发、分销的企业须取得国家级卫生资质，跨省份流通的经营主体还须额外办理跨辖区流通许可。零售端销售低风险器械的药店等机构，由省级卫生部门核发相应资质。</w:t>
      </w:r>
    </w:p>
    <w:p w14:paraId="4BD63B52">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资质许可按经营活动类型区分，不笼统划分批发与零售。进口商可直接向医疗机构、分销企业或符合资质的零售终端供货；分销企业可从持证进口商或其他分销企业采购，向下游分销；药店等零售终端仅可销售标注“自由销售”的低风险I类产品。</w:t>
      </w:r>
    </w:p>
    <w:p w14:paraId="74AEA44F">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销售对象严格按产品风险等级与批准的销售条件划分：标注“自由销售”的产品可直接销售给个人消费者；标注“凭处方销售”的产品须凭医师处方供应，可销售给医疗机构或专业人员；标注“仅限专业机构使用”的高风险产品，只能销售给具备资质的医疗卫生机构或专业医务人员，禁止向普通个人销售。医疗器械网络销售受到严格限制，处方类与专业使用类器械禁止线上面向公众销售。</w:t>
      </w:r>
    </w:p>
    <w:p w14:paraId="6AE25DA3">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（五）医疗器械广告与促销合规</w:t>
      </w:r>
    </w:p>
    <w:p w14:paraId="092F28A2">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阿根廷医疗器械广告宣传受ANMAT第4059/2025号决议等法规严格监管，实行分类管理原则。标注“凭处方销售”及“仅限专业机构使用”的医疗器械，禁止以任何形式面向普通公众发布广告，仅可向医疗卫生专业人士开展专业推广活动。标注“自由销售”的低风险器械可面向公众发布广告，但须符合内容规范。</w:t>
      </w:r>
    </w:p>
    <w:p w14:paraId="71369069">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面向公众的广告须包含产品通用名称、商品名及经批准的使用范围，不得含有诱导过度使用、误导安全性、宣称绝对安全、以儿童为主要受众等内容，不得通过有奖销售、赠品等方式促销产品。广告中关于产品功效与性能的表述须有科学证据支撑，不得夸大适应症或隐瞒风险信息。</w:t>
      </w:r>
    </w:p>
    <w:p w14:paraId="554F09E0">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面向医疗卫生专业人士的推广活动须遵循科学、客观、真实原则，推广材料须标注产品通用名称，数据须来源于已发表的临床研究或公认的科学结论。企业举办学术会议、专业培训等推广活动，须提前将活动方案与材料报ANMAT备案。不得以任何形式通过广告宣传诱导医疗人员不合理使用产品。产品标签与说明书视为法定宣传载体，其内容须与注册批准内容完全一致。</w:t>
      </w:r>
    </w:p>
    <w:p w14:paraId="543AA86C">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（六）反商业贿赂与HCP交往合规</w:t>
      </w:r>
    </w:p>
    <w:p w14:paraId="695C0D1A">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阿根廷反商业贿赂法律体系涵盖刑事、行政与行业规范多个层面。《刑法》规定向公职人员行贿构成刑事犯罪，可处监禁与罚金；第17132号《医疗执业法》明确禁止医疗卫生专业人士从医疗器械生产经营企业获取任何形式的不正当利益，违者可处以警告、罚款、暂停执业甚至吊销执照的处罚。</w:t>
      </w:r>
    </w:p>
    <w:p w14:paraId="0B6F7E6F">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与HCP交往须恪守正当业务边界。企业可基于真实专业服务支付合理报酬，如学术演讲、临床研究、技术咨询等，但须签订正式书面协议，报酬标准符合市场公允水平，且不得与产品采购量或处方量挂钩。禁止以咨询费、服务费、赞助费等名义变相支付回扣，禁止提供礼品、旅游、娱乐等可能影响职业判断的利益。</w:t>
      </w:r>
    </w:p>
    <w:p w14:paraId="4F520F96">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阿根廷医疗器械行业协会制定有行业道德准则，对会员企业的HCP交往行为提出自律规范。公立医疗机构的医务人员属于公职人员范畴，向其提供不当利益还可能触犯《反腐败法》，面临更严厉的刑事追责。</w:t>
      </w:r>
    </w:p>
    <w:p w14:paraId="1A2CCE3A">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（七）上市后警戒与产品责任</w:t>
      </w:r>
    </w:p>
    <w:p w14:paraId="43F04DA7">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阿根廷建立了完善的医疗器械上市后警戒体系，依据ANMAT第8194/2023号决议，注册持有人（本地代理人）承担上市后安全主体责任，须建立内部警戒管理制度，主动收集、评估与报告产品不良事件。</w:t>
      </w:r>
    </w:p>
    <w:p w14:paraId="74DFDD8D">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不良事件实行分级报告制度：导致死亡、严重健康损害或构成公共卫生威胁的严重不良事件，须在获知后72小时内向ANMAT提交初始报告，30日内提交最终调查报告；一般不良事件须在30日内报告。报告内容包括事件概况、产品信息、患者情况、原因分析及已采取的纠正措施。</w:t>
      </w:r>
    </w:p>
    <w:p w14:paraId="4B435AEA">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产品召回分为三个等级：I级召回针对可能造成严重健康危害的产品，须发布公告并通报全社会；II级、III级召回针对风险程度较低的情形。召回计划须事先提交ANMAT审批，注册持有人负责召回的具体实施与效果评估。ANMAT定期开展市场监督抽检，发现产品质量缺陷、标签不合规或安全隐患的，可采取扣押、暂停销售、强制召回、撤销注册等监管措施。因产品缺陷造成人身损害的，制造商与进口商依法承担连带产品责任。</w:t>
      </w:r>
    </w:p>
    <w:p w14:paraId="7203A40A">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（八）数据合规和隐私保护</w:t>
      </w:r>
    </w:p>
    <w:p w14:paraId="10B8F618">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阿根廷个人数据保护的核心法律为第25.326号《个人数据保护法》，该法确立了合法、正当、透明、目的限定、数据最小化等处理原则，适用于医疗器械全生命周期涉及的个人数据处理活动。健康数据属于敏感个人数据，须取得数据主体的明示同意方可处理，法律另有规定的除外。</w:t>
      </w:r>
    </w:p>
    <w:p w14:paraId="22C59DE9">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医疗器械经营企业在产品销售、售后随访、不良事件监测、客户管理等活动中收集处理个人健康数据的，须履行数据控制者义务：明确告知数据主体处理目的、方式与数据接收方；采取必要的技术与组织措施保障数据安全，防止数据泄露、篡改或未经授权访问；建立数据主体权利响应机制，及时处理查阅、更正、删除等申请。</w:t>
      </w:r>
    </w:p>
    <w:p w14:paraId="1247A70C">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医疗数据跨境传输须满足法定条件，接收国须具备适当的数据保护水平，或通过标准合同条款、约束性公司规则等机制保障数据安全。用于临床研究、上市后警戒的个人数据，还须符合卫生监管部门的专项规定。第26529号《患者权利法》进一步明确了患者对其临床数据的控制权，医疗机构与企业须保障患者的知情同意权与数据访问权。</w:t>
      </w:r>
    </w:p>
    <w:p w14:paraId="61E04210">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（九）贸易救济与调查</w:t>
      </w:r>
    </w:p>
    <w:p w14:paraId="73533D52">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阿根廷对医疗器械进口征收南共市共同对外关税（AEC），平均税率约14%，另加征3%的附加费用。根据2025年第892号法令，部分低风险医疗器械若已在指定国家获批上市，可适用监管等效互认安排，降低技术性贸易壁垒。部分公共卫生紧急采购项下的产品可免征进口关税。</w:t>
      </w:r>
    </w:p>
    <w:p w14:paraId="5B646700">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进口管制方面，阿根廷通过SIMI综合进口监控系统实施许可证管理，多数医疗器械适用自动进口许可，部分敏感品类需申领非自动进口许可，审批周期较长且可能附加数量限制。外汇管制政策可能对进口付汇造成一定影响。</w:t>
      </w:r>
    </w:p>
    <w:p w14:paraId="35D060B7">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 xml:space="preserve">贸易救济方面，阿根廷曾对原产于中国的部分医疗器械产品发起反倾销调查并征收反倾销税，税率为FOB价格的59%，相关企业应关注反倾销日落复审与新案调查风险。 </w:t>
      </w:r>
    </w:p>
    <w:p w14:paraId="161B0DAC">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生物安全方面，进口与人体接触的医疗器械须符合阿根廷生物安全标准，部分产品需提供无感染性证明。</w:t>
      </w:r>
    </w:p>
    <w:p w14:paraId="029C9A94">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供应链方面，阿根廷鼓励医疗器械本地化生产，对进口替代产品可能给予政策倾斜，同时对二手翻新医疗器械进口实施严格限制。</w:t>
      </w:r>
    </w:p>
    <w:p w14:paraId="669040BE">
      <w:pPr>
        <w:pStyle w:val="26"/>
        <w:numPr>
          <w:ilvl w:val="2"/>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智利</w:t>
      </w:r>
    </w:p>
    <w:p w14:paraId="34734AE2">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（一）通关监管合规</w:t>
      </w:r>
    </w:p>
    <w:p w14:paraId="460C9E96">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智利医疗器械进口通关由国家海关总署与公共卫生研究所（ISP）实施联合监管。纳入强制卫生管控的医疗器械，须先行取得ISP核发的卫生注册证书，海关凭证书办理验放手续。未纳入强制注册范围的产品，自2018年起须通过ISP的GICONA系统申办《海关目的地证书》（CDA），申报产品信息、风险分类、制造商及仓储地点后方可通关，该证书兼具管控与追溯功能，不替代注册要求。</w:t>
      </w:r>
    </w:p>
    <w:p w14:paraId="6D2CBC34">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进口必备单证包括商业发票、装箱单、原产地证明、卫生注册文件（如适用）。进口二手医疗器械须额外提供技术检测报告及翻新证明，已淘汰或存在安全隐患的老旧设备禁止入境。产品最小销售包装须使用西班牙语标签，载明制造商与进口商信息、预期用途、批号、有效期、储存条件及应急联系方式，海关对标签合规性实施抽查。</w:t>
      </w:r>
    </w:p>
    <w:p w14:paraId="683CFD51">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（二）医疗器械上市准入体系</w:t>
      </w:r>
    </w:p>
    <w:p w14:paraId="06CEF1F5">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智利医疗器械上市准入由卫生部下属公共卫生研究所（ISP）统筹，国家医疗器械局（ANAMED）承担具体技术审评工作。核心法律依据为《卫生法典》第11条、第825号最高法令（1998）及后续修订法令。</w:t>
      </w:r>
    </w:p>
    <w:p w14:paraId="4C24FC33">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准入实施风险分级管理，按风险程度由低到高分为Ⅰ至Ⅳ四类：Ⅰ类为极低风险产品；Ⅱ类为中低风险产品；Ⅲ类为高风险产品，含透析设备、麻醉机、呼吸机等；Ⅳ类为极高风险产品，含心脏起搏器、心脏瓣膜、植入式器械等。风险等级直接决定审评强度、临床证据要求及核查深度。</w:t>
      </w:r>
    </w:p>
    <w:p w14:paraId="41EC1335">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仅列入强制管控目录的产品需申请卫生注册证，目录外产品无需事前审评，但生产经营者仍承担质量安全主体责任。2026年第25号豁免法令进一步扩大强制注册范围，新增品类分阶段落地。注册证有效期为3年，符合条件的自动续期。ISP认可CE、FDA、加拿大卫生部、澳大利亚TGA等机构的审批结论作为参考证据，可简化审评流程。</w:t>
      </w:r>
    </w:p>
    <w:p w14:paraId="18A9BA90">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（三）代理人制度</w:t>
      </w:r>
    </w:p>
    <w:p w14:paraId="4266E5C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智利法规明确要求，境外医疗器械制造商必须指定一家智利境内合法实体作为当地代理人，并由该代理人作为卫生注册证的持证人。代理人制度是产品进入智利市场的前置条件。</w:t>
      </w:r>
    </w:p>
    <w:p w14:paraId="0089D75E">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代理人须满足三项核心资质要求：（1）持有ISP颁发的涵盖医疗器械进口与经营的卫生许可；（2）配备专职技术总监（Director Técnico），该人员须具备医学、生物医学工程、药学等相关专业背景，且为智利常住居民并在ISP完成执业注册；（3）具备符合规范的仓储条件与质量管控能力。</w:t>
      </w:r>
    </w:p>
    <w:p w14:paraId="4317DCFB">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代理人的法定职责包括：作为制造商与ISP及其他监管机构的唯一联络接口；负责提交注册申报资料并确保文件完整合规；承担上市后技术警戒主体责任；建立产品追溯体系，配合监管检查。更换代理人须向ISP申请办理注册持有人变更手续，经核准后方可生效。境外文件须经海牙认证并附西班牙语译本。</w:t>
      </w:r>
    </w:p>
    <w:p w14:paraId="05856CFE">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（四）销售流通合规</w:t>
      </w:r>
    </w:p>
    <w:p w14:paraId="6AB3091D">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智利未单独设置“医疗器械经营许可证”品类，经营资质融入卫生许可体系。从事医疗器械进口、仓储、分销的市场主体，须向ISP申请卫生许可，载明经营范围。仓储场所须单独取得ISP卫生授权，符合储存、运输全链条卫生规范。</w:t>
      </w:r>
    </w:p>
    <w:p w14:paraId="71718A41">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法规未对批发、零售设置分立的行政许可，经营模式由企业在许可范围内自主确定。市场实践中以经销商分销模式为主，境外制造商通常通过授权当地代理商覆盖公立与私立医疗市场。直销模式多见于大型设备及高值耗材，由厂商直接对接医疗机构采购。</w:t>
      </w:r>
    </w:p>
    <w:p w14:paraId="2BD1CEF5">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销售对象按风险等级区分管理：Ⅲ、Ⅳ类高风险医疗器械仅限销售给具备资质的医疗机构，不得直接面向终端个人消费者；Ⅰ、Ⅱ类低风险产品可通过药店、医疗器械专营店等渠道向公众零售。所有经营主体须建立完整的进销存台账，确保产品从入境到终端使用全程可追溯。</w:t>
      </w:r>
    </w:p>
    <w:p w14:paraId="2AFD63D9">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（五）医疗器械广告与促销合规</w:t>
      </w:r>
    </w:p>
    <w:p w14:paraId="55EC4350">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智利卫生法规未针对医疗器械广告设置专门的禁止性条款，广告活动主要受《消费者保护法》（第19496号法）的通用规则约束。广告伦理自律委员会（CONAR）制定的《智利广告伦理准则》为行业通行自律规范。</w:t>
      </w:r>
    </w:p>
    <w:p w14:paraId="63DF38D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广告内容须遵循真实、准确原则，不得含有虚假或误导性陈述，不得滥用消费者缺乏经验或信息不对称谋取不当利益。不得对产品功效、安全性作出绝对化断言，不得宣传治愈率、有效率数据，不得与同类产品进行贬损性比较。面向公众的广告不得包含专业诊疗建议，不得诱导非必要使用。</w:t>
      </w:r>
    </w:p>
    <w:p w14:paraId="059475B6">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针对医护专业人员的推广活动须规范有序。提供产品样品仅限临床评估目的，须标注“非卖品”字样，且仅可在专业人员办公场所或学术会议场合交付，样品最终须用于患者诊疗。行业协会如智利制药创新商会、制药工业协会发布的自律准则，对医疗器械企业具有重要参考价值。</w:t>
      </w:r>
    </w:p>
    <w:p w14:paraId="2B748649">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（六）反商业贿赂与HCP交往合规</w:t>
      </w:r>
    </w:p>
    <w:p w14:paraId="305056B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智利反商业贿赂法律体系以《法人犯罪刑事责任法》（第20393号法）为核心，同时智利为OECD《反贿赂公约》缔约国。该法界定了向公职人员行贿、向外国公职人员行贿两类犯罪，适用于法人及其负责人、管理人员、代理人。</w:t>
      </w:r>
    </w:p>
    <w:p w14:paraId="151B8D2A">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卫生法典》第100明确禁止医药领域的不正当竞争行为：任何企业不得以捐赠产品、提供经济利益或其他形式的好处，诱导医护人员、医疗机构工作人员优先使用特定产品。任何支付、礼品、服务或其他经济利益，只要构成对处方、采购决策的不当影响，均属禁止之列。</w:t>
      </w:r>
    </w:p>
    <w:p w14:paraId="5D034033">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与HCP交往须恪守合规边界。学术交流、会议支持须以真实专业需求为前提，不得附加与产品销售挂钩的条件。不得向HCP提供现金、有价证券或贵重礼品。对公职人员的游说活动须遵守《游说法》规定，依法履行登记程序。</w:t>
      </w:r>
    </w:p>
    <w:p w14:paraId="60C2CA5A">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（七）上市后警戒与产品责任</w:t>
      </w:r>
    </w:p>
    <w:p w14:paraId="2BD9D921">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智利建立技术警戒（Tecnovigilancia）制度，由ISP负责统筹监管，卫生注册持有人为上市后监测的第一责任人。企业须建立覆盖全产品生命周期的不良事件监测体系，按规定时限向ISP报告可疑不良事件及处置措施。</w:t>
      </w:r>
    </w:p>
    <w:p w14:paraId="5F6B992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产品责任依据第20850号法律（Ricarte Soto法）界定。因缺陷医疗器械造成人身损害的，注册持有人、制造商、进口商承担连带赔偿责任，赔偿诉讼时效为5年。法律强制要求医疗器械制造商与进口商投保产品责任保险，或提供等额财务担保，确保损害赔偿可执行。</w:t>
      </w:r>
    </w:p>
    <w:p w14:paraId="3DE083E1">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当产品存在系统性安全隐患时，ISP有权依职权启动调查，视情形采取风险警示、责令召回、暂停销售、强制撤市等措施。企业须制定产品召回应急预案，保留召回执行记录。ISP可对生产、经营场所开展合规检查，验证质量管理体系运行有效性。企业须维持ISO 13485质量管理体系并持续改进。</w:t>
      </w:r>
    </w:p>
    <w:p w14:paraId="6930267A">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（八）数据合规和隐私保护</w:t>
      </w:r>
    </w:p>
    <w:p w14:paraId="77410B0E">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智利个人数据保护具有宪法层级保障，《政治宪法》第19条第4款明确公民个人数据受保护的基本权利。现行有效法律为第19628号《隐私保护法》。2024年12月颁布的第21719号《个人数据保护法》将于2026年12月1日全面实施，该法全面对标欧盟GDPR标准，设立专门的个人数据保护局。</w:t>
      </w:r>
    </w:p>
    <w:p w14:paraId="15521824">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健康数据属于敏感个人数据，适用最严格的保护规则。临床诊疗信息、患者健康记录在传输与存储环节均须加密处理，实行严格的访问权限管控。公立医疗机构数据由卫生部监管，私立医疗机构由卫生监管局（SuperSalud）负责监督执法。</w:t>
      </w:r>
    </w:p>
    <w:p w14:paraId="0974E0E4">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医疗器械企业在产品使用、售后服务、不良事件监测等环节处理个人健康数据，须遵循合法、正当、目的限定、最小必要原则。须建立数据处理活动登记册，开展数据保护影响评估。临床相关数据保存期限不少于15年。须充分保障数据主体的访问权、更正权、删除权及数据可携带权。</w:t>
      </w:r>
    </w:p>
    <w:p w14:paraId="63E44D10">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（九）贸易救济与调查</w:t>
      </w:r>
    </w:p>
    <w:p w14:paraId="486D4E8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智利关税体系高度开放，最惠国税率统一为6%。凭借中智自由贸易协定，中国产医疗器械绝大多数可享受零关税待遇。进口环节按CIF价征收19%增值税，FOB价30美元以下的小额货物免征关税及等级费。</w:t>
      </w:r>
    </w:p>
    <w:p w14:paraId="246A8A94">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贸易救济方面，智利依据《保障措施条例》《竞争法》构建救济体系。从历史实践看，智利贸易政策偏自由化，自2001年以来未发起过反倾销或反补贴调查，保障措施适用亦极为审慎，实施期限不超过1年，最多延长1年，且须经国家竞争委员会出具意见。</w:t>
      </w:r>
    </w:p>
    <w:p w14:paraId="26531B12">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技术性贸易措施是医疗器械领域主要贸易壁垒形式，集中体现为卫生注册要求、西班牙语标签强制规定、质量体系核查等。太平洋联盟框架内已实现医疗器械监管规则协调一致，有利于区域内流通。</w:t>
      </w:r>
    </w:p>
    <w:p w14:paraId="160DA291">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生物安全与供应链管控方面，含动植物源性成分的医疗器械须提供原产地卫生检疫证书。二手医疗器械进口受严格限制，须经安全性能检测。供应链各环节须符合智利卫生规范，确保生产、运输、储存全过程可追溯。</w:t>
      </w:r>
    </w:p>
    <w:p w14:paraId="4710B8DA">
      <w:pPr>
        <w:pStyle w:val="26"/>
        <w:numPr>
          <w:ilvl w:val="1"/>
          <w:numId w:val="1"/>
        </w:numPr>
        <w:spacing w:before="120" w:beforeLines="50" w:after="120" w:afterLines="50" w:line="360" w:lineRule="auto"/>
        <w:jc w:val="center"/>
        <w:rPr>
          <w:rFonts w:ascii="Times New Roman" w:hAnsi="Times New Roman"/>
          <w:b/>
          <w:bCs/>
          <w:sz w:val="28"/>
          <w:szCs w:val="28"/>
          <w:lang w:val="en-GB"/>
        </w:rPr>
      </w:pPr>
      <w:r>
        <w:rPr>
          <w:rFonts w:hint="eastAsia" w:ascii="Times New Roman" w:hAnsi="Times New Roman"/>
          <w:b/>
          <w:bCs/>
          <w:sz w:val="28"/>
          <w:szCs w:val="28"/>
          <w:lang w:val="en-GB"/>
        </w:rPr>
        <w:t xml:space="preserve"> 欧洲地区</w:t>
      </w:r>
    </w:p>
    <w:p w14:paraId="0B31080E">
      <w:pPr>
        <w:pStyle w:val="26"/>
        <w:numPr>
          <w:ilvl w:val="2"/>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欧盟医疗器械监管通用规则</w:t>
      </w:r>
    </w:p>
    <w:p w14:paraId="7A80D6C9">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欧盟医疗器械监管呈现立法统一、执法分散、协调补强的特征。</w:t>
      </w:r>
      <w:r>
        <w:rPr>
          <w:rFonts w:hint="eastAsia" w:ascii="Times New Roman" w:hAnsi="Times New Roman"/>
          <w:sz w:val="28"/>
          <w:szCs w:val="28"/>
        </w:rPr>
        <w:t>欧盟委员会（European Commission，简称“EC”或“</w:t>
      </w:r>
      <w:r>
        <w:rPr>
          <w:rFonts w:ascii="Times New Roman" w:hAnsi="Times New Roman"/>
          <w:sz w:val="28"/>
          <w:szCs w:val="28"/>
        </w:rPr>
        <w:t>委员会</w:t>
      </w:r>
      <w:r>
        <w:rPr>
          <w:rFonts w:hint="eastAsia" w:ascii="Times New Roman" w:hAnsi="Times New Roman"/>
          <w:sz w:val="28"/>
          <w:szCs w:val="28"/>
        </w:rPr>
        <w:t>”）已发布了可直接适用于欧盟各成员国的医疗器械监管法规。各成员国主管机关（</w:t>
      </w:r>
      <w:r>
        <w:rPr>
          <w:rFonts w:ascii="Times New Roman" w:hAnsi="Times New Roman"/>
          <w:sz w:val="28"/>
          <w:szCs w:val="28"/>
        </w:rPr>
        <w:t>Competent Authority</w:t>
      </w:r>
      <w:r>
        <w:rPr>
          <w:rFonts w:hint="eastAsia" w:ascii="Times New Roman" w:hAnsi="Times New Roman"/>
          <w:sz w:val="28"/>
          <w:szCs w:val="28"/>
        </w:rPr>
        <w:t>，简称“</w:t>
      </w:r>
      <w:r>
        <w:rPr>
          <w:rFonts w:ascii="Times New Roman" w:hAnsi="Times New Roman"/>
          <w:sz w:val="28"/>
          <w:szCs w:val="28"/>
        </w:rPr>
        <w:t>CA</w:t>
      </w:r>
      <w:r>
        <w:rPr>
          <w:rFonts w:hint="eastAsia" w:ascii="Times New Roman" w:hAnsi="Times New Roman"/>
          <w:sz w:val="28"/>
          <w:szCs w:val="28"/>
        </w:rPr>
        <w:t>”）是法规落地执行的重要主体，承担法规项下监管职能。同时，法规设立  了医疗器械协调组（</w:t>
      </w:r>
      <w:r>
        <w:rPr>
          <w:rFonts w:ascii="Times New Roman" w:hAnsi="Times New Roman"/>
          <w:sz w:val="28"/>
          <w:szCs w:val="28"/>
        </w:rPr>
        <w:t>Medical Device Coordination Group，简称</w:t>
      </w:r>
      <w:r>
        <w:rPr>
          <w:rFonts w:hint="eastAsia" w:ascii="Times New Roman" w:hAnsi="Times New Roman"/>
          <w:sz w:val="28"/>
          <w:szCs w:val="28"/>
        </w:rPr>
        <w:t>“</w:t>
      </w:r>
      <w:r>
        <w:rPr>
          <w:rFonts w:ascii="Times New Roman" w:hAnsi="Times New Roman"/>
          <w:sz w:val="28"/>
          <w:szCs w:val="28"/>
        </w:rPr>
        <w:t>MDCG</w:t>
      </w:r>
      <w:r>
        <w:rPr>
          <w:rFonts w:hint="eastAsia" w:ascii="Times New Roman" w:hAnsi="Times New Roman"/>
          <w:sz w:val="28"/>
          <w:szCs w:val="28"/>
        </w:rPr>
        <w:t>”），负责协调统一各国执法尺度，并为委员会提供建议。</w:t>
      </w:r>
    </w:p>
    <w:p w14:paraId="2D37A6BD">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欧盟医疗器械监管核心规范</w:t>
      </w:r>
    </w:p>
    <w:p w14:paraId="7B03C3C4">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 xml:space="preserve">《医疗器械法规》（Regulation (EU) 2017/745 of the European Parliament and of the Council of 5 April 2017 on medical devices，以下简称 </w:t>
      </w:r>
      <w:r>
        <w:rPr>
          <w:rFonts w:hint="eastAsia" w:ascii="Times New Roman" w:hAnsi="Times New Roman"/>
          <w:sz w:val="28"/>
          <w:szCs w:val="28"/>
        </w:rPr>
        <w:t>“</w:t>
      </w:r>
      <w:r>
        <w:rPr>
          <w:rFonts w:ascii="Times New Roman" w:hAnsi="Times New Roman"/>
          <w:sz w:val="28"/>
          <w:szCs w:val="28"/>
        </w:rPr>
        <w:t>MDR</w:t>
      </w:r>
      <w:r>
        <w:rPr>
          <w:rFonts w:hint="eastAsia" w:ascii="Times New Roman" w:hAnsi="Times New Roman"/>
          <w:sz w:val="28"/>
          <w:szCs w:val="28"/>
        </w:rPr>
        <w:t>”</w:t>
      </w:r>
      <w:r>
        <w:rPr>
          <w:rFonts w:ascii="Times New Roman" w:hAnsi="Times New Roman"/>
          <w:sz w:val="28"/>
          <w:szCs w:val="28"/>
        </w:rPr>
        <w:t>）</w:t>
      </w:r>
      <w:r>
        <w:rPr>
          <w:rFonts w:hint="eastAsia" w:ascii="Times New Roman" w:hAnsi="Times New Roman"/>
          <w:sz w:val="28"/>
          <w:szCs w:val="28"/>
        </w:rPr>
        <w:t>系欧盟医疗器械监管的核心   规范。MDR</w:t>
      </w:r>
      <w:r>
        <w:rPr>
          <w:rFonts w:ascii="Times New Roman" w:hAnsi="Times New Roman"/>
          <w:sz w:val="28"/>
          <w:szCs w:val="28"/>
        </w:rPr>
        <w:t>于 2017 年 5 月 5 日发布，2021 年 5 月 26 日全面适用，取代了</w:t>
      </w:r>
      <w:r>
        <w:rPr>
          <w:rFonts w:hint="eastAsia" w:ascii="Times New Roman" w:hAnsi="Times New Roman"/>
          <w:sz w:val="28"/>
          <w:szCs w:val="28"/>
        </w:rPr>
        <w:t>原欧盟</w:t>
      </w:r>
      <w:r>
        <w:rPr>
          <w:rFonts w:ascii="Times New Roman" w:hAnsi="Times New Roman"/>
          <w:sz w:val="28"/>
          <w:szCs w:val="28"/>
        </w:rPr>
        <w:t>《医疗器械指令》（Medical Device Directive, MDD 93/42/EEC）和《有源植入医疗器械指令》（Active Implantable Medical Device Directive, AIMDD 90/385/EEC）。</w:t>
      </w:r>
      <w:r>
        <w:rPr>
          <w:rFonts w:hint="eastAsia" w:ascii="Times New Roman" w:hAnsi="Times New Roman"/>
          <w:sz w:val="28"/>
          <w:szCs w:val="28"/>
        </w:rPr>
        <w:t>MDR在法律性质上属于欧盟</w:t>
      </w:r>
      <w:r>
        <w:rPr>
          <w:rFonts w:ascii="Times New Roman" w:hAnsi="Times New Roman"/>
          <w:sz w:val="28"/>
          <w:szCs w:val="28"/>
        </w:rPr>
        <w:t>法规</w:t>
      </w:r>
      <w:r>
        <w:rPr>
          <w:rFonts w:hint="eastAsia" w:ascii="Times New Roman" w:hAnsi="Times New Roman"/>
          <w:sz w:val="28"/>
          <w:szCs w:val="28"/>
        </w:rPr>
        <w:t>，相比指令而言具有在欧盟成员国</w:t>
      </w:r>
      <w:r>
        <w:rPr>
          <w:rFonts w:ascii="Times New Roman" w:hAnsi="Times New Roman"/>
          <w:sz w:val="28"/>
          <w:szCs w:val="28"/>
        </w:rPr>
        <w:t>直接适用</w:t>
      </w:r>
      <w:r>
        <w:rPr>
          <w:rFonts w:hint="eastAsia" w:ascii="Times New Roman" w:hAnsi="Times New Roman"/>
          <w:sz w:val="28"/>
          <w:szCs w:val="28"/>
        </w:rPr>
        <w:t>的</w:t>
      </w:r>
      <w:r>
        <w:rPr>
          <w:rFonts w:ascii="Times New Roman" w:hAnsi="Times New Roman"/>
          <w:sz w:val="28"/>
          <w:szCs w:val="28"/>
        </w:rPr>
        <w:t>效力，大幅提升了欧盟医疗器械监管</w:t>
      </w:r>
      <w:r>
        <w:rPr>
          <w:rFonts w:hint="eastAsia" w:ascii="Times New Roman" w:hAnsi="Times New Roman"/>
          <w:sz w:val="28"/>
          <w:szCs w:val="28"/>
        </w:rPr>
        <w:t>规则</w:t>
      </w:r>
      <w:r>
        <w:rPr>
          <w:rFonts w:ascii="Times New Roman" w:hAnsi="Times New Roman"/>
          <w:sz w:val="28"/>
          <w:szCs w:val="28"/>
        </w:rPr>
        <w:t>的统一性。</w:t>
      </w:r>
    </w:p>
    <w:p w14:paraId="713DDA13">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MDR的调整范围包括</w:t>
      </w:r>
      <w:r>
        <w:rPr>
          <w:rFonts w:ascii="Times New Roman" w:hAnsi="Times New Roman"/>
          <w:sz w:val="28"/>
          <w:szCs w:val="28"/>
        </w:rPr>
        <w:t>人用医疗器械、配件及</w:t>
      </w:r>
      <w:r>
        <w:rPr>
          <w:rFonts w:hint="eastAsia" w:ascii="Times New Roman" w:hAnsi="Times New Roman"/>
          <w:sz w:val="28"/>
          <w:szCs w:val="28"/>
        </w:rPr>
        <w:t>其</w:t>
      </w:r>
      <w:r>
        <w:rPr>
          <w:rFonts w:ascii="Times New Roman" w:hAnsi="Times New Roman"/>
          <w:sz w:val="28"/>
          <w:szCs w:val="28"/>
        </w:rPr>
        <w:t>附录 XVI 列明的无医疗目的高风险产品</w:t>
      </w:r>
      <w:r>
        <w:rPr>
          <w:rFonts w:hint="eastAsia" w:ascii="Times New Roman" w:hAnsi="Times New Roman"/>
          <w:sz w:val="28"/>
          <w:szCs w:val="28"/>
        </w:rPr>
        <w:t>。</w:t>
      </w:r>
      <w:r>
        <w:rPr>
          <w:rFonts w:ascii="Times New Roman" w:hAnsi="Times New Roman"/>
          <w:sz w:val="28"/>
          <w:szCs w:val="28"/>
        </w:rPr>
        <w:t>MDR构建了覆盖制造商</w:t>
      </w:r>
      <w:r>
        <w:rPr>
          <w:rFonts w:hint="eastAsia" w:ascii="Times New Roman" w:hAnsi="Times New Roman"/>
          <w:sz w:val="28"/>
          <w:szCs w:val="28"/>
        </w:rPr>
        <w:t>（Manufacturer）</w:t>
      </w:r>
      <w:r>
        <w:rPr>
          <w:rFonts w:ascii="Times New Roman" w:hAnsi="Times New Roman"/>
          <w:sz w:val="28"/>
          <w:szCs w:val="28"/>
        </w:rPr>
        <w:t>、授权代表</w:t>
      </w:r>
      <w:r>
        <w:rPr>
          <w:rFonts w:hint="eastAsia" w:ascii="Times New Roman" w:hAnsi="Times New Roman"/>
          <w:sz w:val="28"/>
          <w:szCs w:val="28"/>
        </w:rPr>
        <w:t>（</w:t>
      </w:r>
      <w:r>
        <w:rPr>
          <w:rFonts w:ascii="Times New Roman" w:hAnsi="Times New Roman"/>
          <w:sz w:val="28"/>
          <w:szCs w:val="28"/>
        </w:rPr>
        <w:t>Authorised</w:t>
      </w:r>
      <w:r>
        <w:rPr>
          <w:rFonts w:hint="eastAsia" w:ascii="Times New Roman" w:hAnsi="Times New Roman"/>
          <w:sz w:val="28"/>
          <w:szCs w:val="28"/>
        </w:rPr>
        <w:t xml:space="preserve"> Representative，简称“AR”）</w:t>
      </w:r>
      <w:r>
        <w:rPr>
          <w:rFonts w:ascii="Times New Roman" w:hAnsi="Times New Roman"/>
          <w:sz w:val="28"/>
          <w:szCs w:val="28"/>
        </w:rPr>
        <w:t>、进口商</w:t>
      </w:r>
      <w:r>
        <w:rPr>
          <w:rFonts w:hint="eastAsia" w:ascii="Times New Roman" w:hAnsi="Times New Roman"/>
          <w:sz w:val="28"/>
          <w:szCs w:val="28"/>
        </w:rPr>
        <w:t>（Importer）</w:t>
      </w:r>
      <w:r>
        <w:rPr>
          <w:rFonts w:ascii="Times New Roman" w:hAnsi="Times New Roman"/>
          <w:sz w:val="28"/>
          <w:szCs w:val="28"/>
        </w:rPr>
        <w:t>和分销商</w:t>
      </w:r>
      <w:r>
        <w:rPr>
          <w:rFonts w:hint="eastAsia" w:ascii="Times New Roman" w:hAnsi="Times New Roman"/>
          <w:sz w:val="28"/>
          <w:szCs w:val="28"/>
        </w:rPr>
        <w:t>（Distributor）</w:t>
      </w:r>
      <w:r>
        <w:rPr>
          <w:rFonts w:ascii="Times New Roman" w:hAnsi="Times New Roman"/>
          <w:sz w:val="28"/>
          <w:szCs w:val="28"/>
        </w:rPr>
        <w:t>的</w:t>
      </w:r>
      <w:r>
        <w:rPr>
          <w:rFonts w:hint="eastAsia" w:ascii="Times New Roman" w:hAnsi="Times New Roman"/>
          <w:sz w:val="28"/>
          <w:szCs w:val="28"/>
        </w:rPr>
        <w:t>经济运营商（Economic Operator）</w:t>
      </w:r>
      <w:r>
        <w:rPr>
          <w:rFonts w:ascii="Times New Roman" w:hAnsi="Times New Roman"/>
          <w:sz w:val="28"/>
          <w:szCs w:val="28"/>
        </w:rPr>
        <w:t>全链条义务体系。</w:t>
      </w:r>
      <w:r>
        <w:rPr>
          <w:rFonts w:hint="eastAsia" w:ascii="Times New Roman" w:hAnsi="Times New Roman"/>
          <w:sz w:val="28"/>
          <w:szCs w:val="28"/>
        </w:rPr>
        <w:t>MDR</w:t>
      </w:r>
      <w:r>
        <w:rPr>
          <w:rFonts w:ascii="Times New Roman" w:hAnsi="Times New Roman"/>
          <w:sz w:val="28"/>
          <w:szCs w:val="28"/>
        </w:rPr>
        <w:t>明确制造商承担</w:t>
      </w:r>
      <w:r>
        <w:rPr>
          <w:rFonts w:hint="eastAsia" w:ascii="Times New Roman" w:hAnsi="Times New Roman"/>
          <w:sz w:val="28"/>
          <w:szCs w:val="28"/>
        </w:rPr>
        <w:t>产品全生命周期</w:t>
      </w:r>
      <w:r>
        <w:rPr>
          <w:rFonts w:ascii="Times New Roman" w:hAnsi="Times New Roman"/>
          <w:sz w:val="28"/>
          <w:szCs w:val="28"/>
        </w:rPr>
        <w:t>首要合规责任</w:t>
      </w:r>
      <w:r>
        <w:rPr>
          <w:rFonts w:hint="eastAsia" w:ascii="Times New Roman" w:hAnsi="Times New Roman"/>
          <w:sz w:val="28"/>
          <w:szCs w:val="28"/>
        </w:rPr>
        <w:t>，包括产品</w:t>
      </w:r>
      <w:r>
        <w:rPr>
          <w:rFonts w:ascii="Times New Roman" w:hAnsi="Times New Roman"/>
          <w:sz w:val="28"/>
          <w:szCs w:val="28"/>
        </w:rPr>
        <w:t>设计、生产、风险管理、临床评价、技术文档编制、上市后监督、警戒报告等</w:t>
      </w:r>
      <w:r>
        <w:rPr>
          <w:rFonts w:hint="eastAsia" w:ascii="Times New Roman" w:hAnsi="Times New Roman"/>
          <w:sz w:val="28"/>
          <w:szCs w:val="28"/>
        </w:rPr>
        <w:t>环节；</w:t>
      </w:r>
      <w:r>
        <w:rPr>
          <w:rFonts w:ascii="Times New Roman" w:hAnsi="Times New Roman"/>
          <w:sz w:val="28"/>
          <w:szCs w:val="28"/>
        </w:rPr>
        <w:t>非欧盟</w:t>
      </w:r>
      <w:r>
        <w:rPr>
          <w:rFonts w:hint="eastAsia" w:ascii="Times New Roman" w:hAnsi="Times New Roman"/>
          <w:sz w:val="28"/>
          <w:szCs w:val="28"/>
        </w:rPr>
        <w:t>制造商</w:t>
      </w:r>
      <w:r>
        <w:rPr>
          <w:rFonts w:ascii="Times New Roman" w:hAnsi="Times New Roman"/>
          <w:sz w:val="28"/>
          <w:szCs w:val="28"/>
        </w:rPr>
        <w:t>必须指定欧盟境内授权代表</w:t>
      </w:r>
      <w:r>
        <w:rPr>
          <w:rFonts w:hint="eastAsia" w:ascii="Times New Roman" w:hAnsi="Times New Roman"/>
          <w:sz w:val="28"/>
          <w:szCs w:val="28"/>
        </w:rPr>
        <w:t>与其</w:t>
      </w:r>
      <w:r>
        <w:rPr>
          <w:rFonts w:ascii="Times New Roman" w:hAnsi="Times New Roman"/>
          <w:sz w:val="28"/>
          <w:szCs w:val="28"/>
        </w:rPr>
        <w:t>承担连带责任</w:t>
      </w:r>
      <w:r>
        <w:rPr>
          <w:rFonts w:hint="eastAsia" w:ascii="Times New Roman" w:hAnsi="Times New Roman"/>
          <w:sz w:val="28"/>
          <w:szCs w:val="28"/>
        </w:rPr>
        <w:t>。一般情况下，</w:t>
      </w:r>
      <w:r>
        <w:rPr>
          <w:rFonts w:ascii="Times New Roman" w:hAnsi="Times New Roman"/>
          <w:sz w:val="28"/>
          <w:szCs w:val="28"/>
        </w:rPr>
        <w:t>进口商和分销商承担验证性义务，须核实CE标志、符合性声明、标签等合规要素。</w:t>
      </w:r>
      <w:r>
        <w:rPr>
          <w:rFonts w:hint="eastAsia" w:ascii="Times New Roman" w:hAnsi="Times New Roman"/>
          <w:sz w:val="28"/>
          <w:szCs w:val="28"/>
        </w:rPr>
        <w:t>MDR对医疗器械实施分类监管，根据风险等级将医疗器械分为</w:t>
      </w:r>
      <w:r>
        <w:rPr>
          <w:rFonts w:ascii="Times New Roman" w:hAnsi="Times New Roman"/>
          <w:sz w:val="28"/>
          <w:szCs w:val="28"/>
        </w:rPr>
        <w:t>I、IIa、IIb</w:t>
      </w:r>
      <w:r>
        <w:rPr>
          <w:rFonts w:hint="eastAsia" w:ascii="Times New Roman" w:hAnsi="Times New Roman"/>
          <w:sz w:val="28"/>
          <w:szCs w:val="28"/>
        </w:rPr>
        <w:t>、</w:t>
      </w:r>
      <w:r>
        <w:rPr>
          <w:rFonts w:ascii="Times New Roman" w:hAnsi="Times New Roman"/>
          <w:sz w:val="28"/>
          <w:szCs w:val="28"/>
        </w:rPr>
        <w:t>III</w:t>
      </w:r>
      <w:r>
        <w:rPr>
          <w:rFonts w:hint="eastAsia" w:ascii="Times New Roman" w:hAnsi="Times New Roman"/>
          <w:sz w:val="28"/>
          <w:szCs w:val="28"/>
        </w:rPr>
        <w:t>四个大类。在产品准入环节，MDR采用CE标志准入模式，制造商应根据MDR</w:t>
      </w:r>
      <w:r>
        <w:rPr>
          <w:rFonts w:ascii="Times New Roman" w:hAnsi="Times New Roman"/>
          <w:sz w:val="28"/>
          <w:szCs w:val="28"/>
        </w:rPr>
        <w:t>附件VIII</w:t>
      </w:r>
      <w:r>
        <w:rPr>
          <w:rFonts w:hint="eastAsia" w:ascii="Times New Roman" w:hAnsi="Times New Roman"/>
          <w:sz w:val="28"/>
          <w:szCs w:val="28"/>
        </w:rPr>
        <w:t>规定的分类规则判断产品分类，并选择相应的符合性评估程序取得CE标志。通常而言，大部分</w:t>
      </w:r>
      <w:r>
        <w:rPr>
          <w:rFonts w:ascii="Times New Roman" w:hAnsi="Times New Roman"/>
          <w:sz w:val="28"/>
          <w:szCs w:val="28"/>
        </w:rPr>
        <w:t>I类低风险</w:t>
      </w:r>
      <w:r>
        <w:rPr>
          <w:rFonts w:hint="eastAsia" w:ascii="Times New Roman" w:hAnsi="Times New Roman"/>
          <w:sz w:val="28"/>
          <w:szCs w:val="28"/>
        </w:rPr>
        <w:t>医疗器械可</w:t>
      </w:r>
      <w:r>
        <w:rPr>
          <w:rFonts w:ascii="Times New Roman" w:hAnsi="Times New Roman"/>
          <w:sz w:val="28"/>
          <w:szCs w:val="28"/>
        </w:rPr>
        <w:t>由制造商自我声明</w:t>
      </w:r>
      <w:r>
        <w:rPr>
          <w:rFonts w:hint="eastAsia" w:ascii="Times New Roman" w:hAnsi="Times New Roman"/>
          <w:sz w:val="28"/>
          <w:szCs w:val="28"/>
        </w:rPr>
        <w:t>，而部分</w:t>
      </w:r>
      <w:r>
        <w:rPr>
          <w:rFonts w:ascii="Times New Roman" w:hAnsi="Times New Roman"/>
          <w:sz w:val="28"/>
          <w:szCs w:val="28"/>
        </w:rPr>
        <w:t>I类</w:t>
      </w:r>
      <w:r>
        <w:rPr>
          <w:rFonts w:hint="eastAsia" w:ascii="Times New Roman" w:hAnsi="Times New Roman"/>
          <w:sz w:val="28"/>
          <w:szCs w:val="28"/>
        </w:rPr>
        <w:t>和全部</w:t>
      </w:r>
      <w:r>
        <w:rPr>
          <w:rFonts w:ascii="Times New Roman" w:hAnsi="Times New Roman"/>
          <w:sz w:val="28"/>
          <w:szCs w:val="28"/>
        </w:rPr>
        <w:t>IIa类及以上</w:t>
      </w:r>
      <w:r>
        <w:rPr>
          <w:rFonts w:hint="eastAsia" w:ascii="Times New Roman" w:hAnsi="Times New Roman"/>
          <w:sz w:val="28"/>
          <w:szCs w:val="28"/>
        </w:rPr>
        <w:t>风险等级的医疗器械</w:t>
      </w:r>
      <w:r>
        <w:rPr>
          <w:rFonts w:ascii="Times New Roman" w:hAnsi="Times New Roman"/>
          <w:sz w:val="28"/>
          <w:szCs w:val="28"/>
        </w:rPr>
        <w:t>需要公告机构</w:t>
      </w:r>
      <w:r>
        <w:rPr>
          <w:rFonts w:hint="eastAsia" w:ascii="Times New Roman" w:hAnsi="Times New Roman"/>
          <w:sz w:val="28"/>
          <w:szCs w:val="28"/>
        </w:rPr>
        <w:t>（Notified Body，简称“NB”）</w:t>
      </w:r>
      <w:r>
        <w:rPr>
          <w:rFonts w:ascii="Times New Roman" w:hAnsi="Times New Roman"/>
          <w:sz w:val="28"/>
          <w:szCs w:val="28"/>
        </w:rPr>
        <w:t>介入</w:t>
      </w:r>
      <w:r>
        <w:rPr>
          <w:rFonts w:hint="eastAsia" w:ascii="Times New Roman" w:hAnsi="Times New Roman"/>
          <w:sz w:val="28"/>
          <w:szCs w:val="28"/>
        </w:rPr>
        <w:t>进行符合性评估</w:t>
      </w:r>
      <w:r>
        <w:rPr>
          <w:rFonts w:ascii="Times New Roman" w:hAnsi="Times New Roman"/>
          <w:sz w:val="28"/>
          <w:szCs w:val="28"/>
        </w:rPr>
        <w:t>。</w:t>
      </w:r>
      <w:r>
        <w:rPr>
          <w:rFonts w:hint="eastAsia" w:ascii="Times New Roman" w:hAnsi="Times New Roman"/>
          <w:sz w:val="28"/>
          <w:szCs w:val="28"/>
        </w:rPr>
        <w:t>公告机构本质是符合MDR要求的有资质的第三方私营公司，与我国由政府监管部门完成医疗器械准入审批的模式存在显著差异。在产品经营环节，MDR要求制造商履行产品上市后持续合规义务，制造商应制定上市后监督计划，并根据产品分类对产品进行定期安全报告、上市后临床随访以及警戒。</w:t>
      </w:r>
    </w:p>
    <w:p w14:paraId="2C3604D9">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此外，MDR正式确立</w:t>
      </w:r>
      <w:r>
        <w:rPr>
          <w:rFonts w:ascii="Times New Roman" w:hAnsi="Times New Roman"/>
          <w:sz w:val="28"/>
          <w:szCs w:val="28"/>
        </w:rPr>
        <w:t>欧盟医疗器械数据库（European Database on Medical Devices，</w:t>
      </w:r>
      <w:r>
        <w:rPr>
          <w:rFonts w:hint="eastAsia" w:ascii="Times New Roman" w:hAnsi="Times New Roman"/>
          <w:sz w:val="28"/>
          <w:szCs w:val="28"/>
        </w:rPr>
        <w:t>以下简称“</w:t>
      </w:r>
      <w:r>
        <w:rPr>
          <w:rFonts w:ascii="Times New Roman" w:hAnsi="Times New Roman"/>
          <w:sz w:val="28"/>
          <w:szCs w:val="28"/>
        </w:rPr>
        <w:t>EUDAMED</w:t>
      </w:r>
      <w:r>
        <w:rPr>
          <w:rFonts w:hint="eastAsia" w:ascii="Times New Roman" w:hAnsi="Times New Roman"/>
          <w:sz w:val="28"/>
          <w:szCs w:val="28"/>
        </w:rPr>
        <w:t>”</w:t>
      </w:r>
      <w:r>
        <w:rPr>
          <w:rFonts w:ascii="Times New Roman" w:hAnsi="Times New Roman"/>
          <w:sz w:val="28"/>
          <w:szCs w:val="28"/>
        </w:rPr>
        <w:t>）</w:t>
      </w:r>
      <w:r>
        <w:rPr>
          <w:rFonts w:hint="eastAsia" w:ascii="Times New Roman" w:hAnsi="Times New Roman"/>
          <w:sz w:val="28"/>
          <w:szCs w:val="28"/>
        </w:rPr>
        <w:t>，首次建立欧盟层面各成员国统一适用的中央数据库。EUDAMED由委员会设立、维护与管理，</w:t>
      </w:r>
      <w:r>
        <w:rPr>
          <w:rFonts w:ascii="Times New Roman" w:hAnsi="Times New Roman"/>
          <w:sz w:val="28"/>
          <w:szCs w:val="28"/>
        </w:rPr>
        <w:t>是 MDR 落地的核心数字化基础设施</w:t>
      </w:r>
      <w:r>
        <w:rPr>
          <w:rFonts w:hint="eastAsia" w:ascii="Times New Roman" w:hAnsi="Times New Roman"/>
          <w:sz w:val="28"/>
          <w:szCs w:val="28"/>
        </w:rPr>
        <w:t>。EUDAMED由7个模块组成，</w:t>
      </w:r>
      <w:r>
        <w:rPr>
          <w:rFonts w:ascii="Times New Roman" w:hAnsi="Times New Roman"/>
          <w:sz w:val="28"/>
          <w:szCs w:val="28"/>
        </w:rPr>
        <w:t>覆盖医疗器械全生命周期</w:t>
      </w:r>
      <w:r>
        <w:rPr>
          <w:rFonts w:hint="eastAsia" w:ascii="Times New Roman" w:hAnsi="Times New Roman"/>
          <w:sz w:val="28"/>
          <w:szCs w:val="28"/>
        </w:rPr>
        <w:t>，具体包括</w:t>
      </w:r>
      <w:r>
        <w:rPr>
          <w:rFonts w:ascii="Times New Roman" w:hAnsi="Times New Roman"/>
          <w:sz w:val="28"/>
          <w:szCs w:val="28"/>
        </w:rPr>
        <w:t>设备注册</w:t>
      </w:r>
      <w:r>
        <w:rPr>
          <w:rFonts w:hint="eastAsia" w:ascii="Times New Roman" w:hAnsi="Times New Roman"/>
          <w:sz w:val="28"/>
          <w:szCs w:val="28"/>
        </w:rPr>
        <w:t>模块（E</w:t>
      </w:r>
      <w:r>
        <w:rPr>
          <w:rFonts w:ascii="Times New Roman" w:hAnsi="Times New Roman"/>
          <w:sz w:val="28"/>
          <w:szCs w:val="28"/>
        </w:rPr>
        <w:t>lectronic system for registration of devices</w:t>
      </w:r>
      <w:r>
        <w:rPr>
          <w:rFonts w:hint="eastAsia" w:ascii="Times New Roman" w:hAnsi="Times New Roman"/>
          <w:sz w:val="28"/>
          <w:szCs w:val="28"/>
        </w:rPr>
        <w:t>）、</w:t>
      </w:r>
      <w:r>
        <w:rPr>
          <w:rFonts w:ascii="Times New Roman" w:hAnsi="Times New Roman"/>
          <w:sz w:val="28"/>
          <w:szCs w:val="28"/>
        </w:rPr>
        <w:t xml:space="preserve"> UDI 数据库</w:t>
      </w:r>
      <w:r>
        <w:rPr>
          <w:rFonts w:hint="eastAsia" w:ascii="Times New Roman" w:hAnsi="Times New Roman"/>
          <w:sz w:val="28"/>
          <w:szCs w:val="28"/>
        </w:rPr>
        <w:t>（UDI-database）、</w:t>
      </w:r>
      <w:r>
        <w:rPr>
          <w:rFonts w:ascii="Times New Roman" w:hAnsi="Times New Roman"/>
          <w:sz w:val="28"/>
          <w:szCs w:val="28"/>
        </w:rPr>
        <w:t>经济运营商注册模块</w:t>
      </w:r>
      <w:r>
        <w:rPr>
          <w:rFonts w:hint="eastAsia" w:ascii="Times New Roman" w:hAnsi="Times New Roman"/>
          <w:sz w:val="28"/>
          <w:szCs w:val="28"/>
        </w:rPr>
        <w:t>（E</w:t>
      </w:r>
      <w:r>
        <w:rPr>
          <w:rFonts w:ascii="Times New Roman" w:hAnsi="Times New Roman"/>
          <w:sz w:val="28"/>
          <w:szCs w:val="28"/>
        </w:rPr>
        <w:t>lectronic system on registration of economic operators</w:t>
      </w:r>
      <w:r>
        <w:rPr>
          <w:rFonts w:hint="eastAsia" w:ascii="Times New Roman" w:hAnsi="Times New Roman"/>
          <w:sz w:val="28"/>
          <w:szCs w:val="28"/>
        </w:rPr>
        <w:t>）、</w:t>
      </w:r>
      <w:r>
        <w:rPr>
          <w:rFonts w:ascii="Times New Roman" w:hAnsi="Times New Roman"/>
          <w:sz w:val="28"/>
          <w:szCs w:val="28"/>
        </w:rPr>
        <w:t>公告机构与证书模块</w:t>
      </w:r>
      <w:r>
        <w:rPr>
          <w:rFonts w:hint="eastAsia" w:ascii="Times New Roman" w:hAnsi="Times New Roman"/>
          <w:sz w:val="28"/>
          <w:szCs w:val="28"/>
        </w:rPr>
        <w:t>（Electronic system on notified bodies and on certificates of conformity）、</w:t>
      </w:r>
      <w:r>
        <w:rPr>
          <w:rFonts w:ascii="Times New Roman" w:hAnsi="Times New Roman"/>
          <w:sz w:val="28"/>
          <w:szCs w:val="28"/>
        </w:rPr>
        <w:t>临床研究模块</w:t>
      </w:r>
      <w:r>
        <w:rPr>
          <w:rFonts w:hint="eastAsia" w:ascii="Times New Roman" w:hAnsi="Times New Roman"/>
          <w:sz w:val="28"/>
          <w:szCs w:val="28"/>
        </w:rPr>
        <w:t>（Electronic system on clinical investigations）、</w:t>
      </w:r>
      <w:r>
        <w:rPr>
          <w:rFonts w:ascii="Times New Roman" w:hAnsi="Times New Roman"/>
          <w:sz w:val="28"/>
          <w:szCs w:val="28"/>
        </w:rPr>
        <w:t>警戒与上市后监督模块</w:t>
      </w:r>
      <w:r>
        <w:rPr>
          <w:rFonts w:hint="eastAsia" w:ascii="Times New Roman" w:hAnsi="Times New Roman"/>
          <w:sz w:val="28"/>
          <w:szCs w:val="28"/>
        </w:rPr>
        <w:t>（</w:t>
      </w:r>
      <w:r>
        <w:rPr>
          <w:rFonts w:ascii="Times New Roman" w:hAnsi="Times New Roman"/>
          <w:sz w:val="28"/>
          <w:szCs w:val="28"/>
        </w:rPr>
        <w:t>Electronic system on vigilance and on post-market surveillance</w:t>
      </w:r>
      <w:r>
        <w:rPr>
          <w:rFonts w:hint="eastAsia" w:ascii="Times New Roman" w:hAnsi="Times New Roman"/>
          <w:sz w:val="28"/>
          <w:szCs w:val="28"/>
        </w:rPr>
        <w:t>）、</w:t>
      </w:r>
      <w:r>
        <w:rPr>
          <w:rFonts w:ascii="Times New Roman" w:hAnsi="Times New Roman"/>
          <w:sz w:val="28"/>
          <w:szCs w:val="28"/>
        </w:rPr>
        <w:t>市场</w:t>
      </w:r>
      <w:r>
        <w:rPr>
          <w:rFonts w:hint="eastAsia" w:ascii="Times New Roman" w:hAnsi="Times New Roman"/>
          <w:sz w:val="28"/>
          <w:szCs w:val="28"/>
        </w:rPr>
        <w:t>监督模块（</w:t>
      </w:r>
      <w:r>
        <w:rPr>
          <w:rFonts w:ascii="Times New Roman" w:hAnsi="Times New Roman"/>
          <w:sz w:val="28"/>
          <w:szCs w:val="28"/>
        </w:rPr>
        <w:t>Electronic system</w:t>
      </w:r>
      <w:r>
        <w:rPr>
          <w:rFonts w:hint="eastAsia" w:ascii="Times New Roman" w:hAnsi="Times New Roman"/>
          <w:sz w:val="28"/>
          <w:szCs w:val="28"/>
        </w:rPr>
        <w:t xml:space="preserve"> on market surveillance）。根据</w:t>
      </w:r>
      <w:r>
        <w:rPr>
          <w:rFonts w:ascii="Times New Roman" w:hAnsi="Times New Roman"/>
          <w:sz w:val="28"/>
          <w:szCs w:val="28"/>
        </w:rPr>
        <w:t>MDR 第123条第3款</w:t>
      </w:r>
      <w:r>
        <w:rPr>
          <w:rFonts w:hint="eastAsia" w:ascii="Times New Roman" w:hAnsi="Times New Roman"/>
          <w:sz w:val="28"/>
          <w:szCs w:val="28"/>
        </w:rPr>
        <w:t>（d）</w:t>
      </w:r>
      <w:r>
        <w:rPr>
          <w:rFonts w:ascii="Times New Roman" w:hAnsi="Times New Roman"/>
          <w:sz w:val="28"/>
          <w:szCs w:val="28"/>
        </w:rPr>
        <w:t>项规定，</w:t>
      </w:r>
      <w:r>
        <w:rPr>
          <w:rFonts w:hint="eastAsia" w:ascii="Times New Roman" w:hAnsi="Times New Roman"/>
          <w:sz w:val="28"/>
          <w:szCs w:val="28"/>
        </w:rPr>
        <w:t>EUDAMED</w:t>
      </w:r>
      <w:r>
        <w:rPr>
          <w:rFonts w:ascii="Times New Roman" w:hAnsi="Times New Roman"/>
          <w:sz w:val="28"/>
          <w:szCs w:val="28"/>
        </w:rPr>
        <w:t xml:space="preserve"> </w:t>
      </w:r>
      <w:r>
        <w:rPr>
          <w:rFonts w:hint="eastAsia" w:ascii="Times New Roman" w:hAnsi="Times New Roman"/>
          <w:sz w:val="28"/>
          <w:szCs w:val="28"/>
        </w:rPr>
        <w:t>单个模块对应的合规义务</w:t>
      </w:r>
      <w:r>
        <w:rPr>
          <w:rFonts w:ascii="Times New Roman" w:hAnsi="Times New Roman"/>
          <w:sz w:val="28"/>
          <w:szCs w:val="28"/>
        </w:rPr>
        <w:t>，</w:t>
      </w:r>
      <w:r>
        <w:rPr>
          <w:rFonts w:hint="eastAsia" w:ascii="Times New Roman" w:hAnsi="Times New Roman"/>
          <w:sz w:val="28"/>
          <w:szCs w:val="28"/>
        </w:rPr>
        <w:t>自模块具备相应功能并由委员会</w:t>
      </w:r>
      <w:r>
        <w:rPr>
          <w:rFonts w:ascii="Times New Roman" w:hAnsi="Times New Roman"/>
          <w:sz w:val="28"/>
          <w:szCs w:val="28"/>
        </w:rPr>
        <w:t>发布正式公告之日起六个月后适用。2025 年 11 月 26 日，欧盟委员会发布第 (EU) 2025/2371 号实施决定</w:t>
      </w:r>
      <w:r>
        <w:rPr>
          <w:rStyle w:val="24"/>
          <w:rFonts w:ascii="Times New Roman" w:hAnsi="Times New Roman"/>
          <w:sz w:val="28"/>
          <w:szCs w:val="28"/>
        </w:rPr>
        <w:footnoteReference w:id="0"/>
      </w:r>
      <w:r>
        <w:rPr>
          <w:rFonts w:ascii="Times New Roman" w:hAnsi="Times New Roman"/>
          <w:sz w:val="28"/>
          <w:szCs w:val="28"/>
        </w:rPr>
        <w:t>，正式公告</w:t>
      </w:r>
      <w:r>
        <w:rPr>
          <w:rFonts w:hint="eastAsia" w:ascii="Times New Roman" w:hAnsi="Times New Roman"/>
          <w:sz w:val="28"/>
          <w:szCs w:val="28"/>
        </w:rPr>
        <w:t>首批4个EUDAMED</w:t>
      </w:r>
      <w:r>
        <w:rPr>
          <w:rFonts w:ascii="Times New Roman" w:hAnsi="Times New Roman"/>
          <w:sz w:val="28"/>
          <w:szCs w:val="28"/>
        </w:rPr>
        <w:t>模块通过功能验证，对应义务于2026 年 5 月 28 日起强制适用</w:t>
      </w:r>
      <w:r>
        <w:rPr>
          <w:rFonts w:hint="eastAsia" w:ascii="Times New Roman" w:hAnsi="Times New Roman"/>
          <w:sz w:val="28"/>
          <w:szCs w:val="28"/>
        </w:rPr>
        <w:t>，具体模块为</w:t>
      </w:r>
      <w:r>
        <w:rPr>
          <w:rFonts w:ascii="Times New Roman" w:hAnsi="Times New Roman"/>
          <w:sz w:val="28"/>
          <w:szCs w:val="28"/>
        </w:rPr>
        <w:t>经济运营商注册</w:t>
      </w:r>
      <w:r>
        <w:rPr>
          <w:rFonts w:hint="eastAsia" w:ascii="Times New Roman" w:hAnsi="Times New Roman"/>
          <w:sz w:val="28"/>
          <w:szCs w:val="28"/>
        </w:rPr>
        <w:t>模块</w:t>
      </w:r>
      <w:r>
        <w:rPr>
          <w:rFonts w:ascii="Times New Roman" w:hAnsi="Times New Roman"/>
          <w:sz w:val="28"/>
          <w:szCs w:val="28"/>
        </w:rPr>
        <w:t>、 UDI 数据库</w:t>
      </w:r>
      <w:r>
        <w:rPr>
          <w:rFonts w:hint="eastAsia" w:ascii="Times New Roman" w:hAnsi="Times New Roman"/>
          <w:sz w:val="28"/>
          <w:szCs w:val="28"/>
        </w:rPr>
        <w:t>与设备注册模块</w:t>
      </w:r>
      <w:r>
        <w:rPr>
          <w:rFonts w:ascii="Times New Roman" w:hAnsi="Times New Roman"/>
          <w:sz w:val="28"/>
          <w:szCs w:val="28"/>
        </w:rPr>
        <w:t>、公告机构与证书</w:t>
      </w:r>
      <w:r>
        <w:rPr>
          <w:rFonts w:hint="eastAsia" w:ascii="Times New Roman" w:hAnsi="Times New Roman"/>
          <w:sz w:val="28"/>
          <w:szCs w:val="28"/>
        </w:rPr>
        <w:t>模块</w:t>
      </w:r>
      <w:r>
        <w:rPr>
          <w:rFonts w:ascii="Times New Roman" w:hAnsi="Times New Roman"/>
          <w:sz w:val="28"/>
          <w:szCs w:val="28"/>
        </w:rPr>
        <w:t>、市场</w:t>
      </w:r>
      <w:r>
        <w:rPr>
          <w:rFonts w:hint="eastAsia" w:ascii="Times New Roman" w:hAnsi="Times New Roman"/>
          <w:sz w:val="28"/>
          <w:szCs w:val="28"/>
        </w:rPr>
        <w:t>监督模块。对于尚未</w:t>
      </w:r>
      <w:r>
        <w:rPr>
          <w:rFonts w:ascii="Times New Roman" w:hAnsi="Times New Roman"/>
          <w:sz w:val="28"/>
          <w:szCs w:val="28"/>
        </w:rPr>
        <w:t>上线</w:t>
      </w:r>
      <w:r>
        <w:rPr>
          <w:rFonts w:hint="eastAsia" w:ascii="Times New Roman" w:hAnsi="Times New Roman"/>
          <w:sz w:val="28"/>
          <w:szCs w:val="28"/>
        </w:rPr>
        <w:t>的临床研究模块、</w:t>
      </w:r>
      <w:r>
        <w:rPr>
          <w:rFonts w:ascii="Times New Roman" w:hAnsi="Times New Roman"/>
          <w:sz w:val="28"/>
          <w:szCs w:val="28"/>
        </w:rPr>
        <w:t>警戒与上市后监督模块，相关</w:t>
      </w:r>
      <w:r>
        <w:rPr>
          <w:rFonts w:hint="eastAsia" w:ascii="Times New Roman" w:hAnsi="Times New Roman"/>
          <w:sz w:val="28"/>
          <w:szCs w:val="28"/>
        </w:rPr>
        <w:t>报告及法定义务的履行</w:t>
      </w:r>
      <w:r>
        <w:rPr>
          <w:rFonts w:ascii="Times New Roman" w:hAnsi="Times New Roman"/>
          <w:sz w:val="28"/>
          <w:szCs w:val="28"/>
        </w:rPr>
        <w:t>仍通过各成员国主管</w:t>
      </w:r>
      <w:r>
        <w:rPr>
          <w:rFonts w:hint="eastAsia" w:ascii="Times New Roman" w:hAnsi="Times New Roman"/>
          <w:sz w:val="28"/>
          <w:szCs w:val="28"/>
        </w:rPr>
        <w:t>机关</w:t>
      </w:r>
      <w:r>
        <w:rPr>
          <w:rFonts w:ascii="Times New Roman" w:hAnsi="Times New Roman"/>
          <w:sz w:val="28"/>
          <w:szCs w:val="28"/>
        </w:rPr>
        <w:t>的国家渠道进行。</w:t>
      </w:r>
    </w:p>
    <w:p w14:paraId="1C8698B9">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欧盟医疗器械监管权限划分</w:t>
      </w:r>
    </w:p>
    <w:p w14:paraId="517679C0">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欧盟委员会作为欧盟层面的立法与执行机构，在MDR框架下主要承担法规制定与解释、EUDAMED系统建设与维护，以及监督与纠偏职能。委员会有权</w:t>
      </w:r>
      <w:r>
        <w:rPr>
          <w:rFonts w:ascii="Times New Roman" w:hAnsi="Times New Roman"/>
          <w:sz w:val="28"/>
          <w:szCs w:val="28"/>
        </w:rPr>
        <w:t>对</w:t>
      </w:r>
      <w:r>
        <w:rPr>
          <w:rFonts w:hint="eastAsia" w:ascii="Times New Roman" w:hAnsi="Times New Roman"/>
          <w:sz w:val="28"/>
          <w:szCs w:val="28"/>
        </w:rPr>
        <w:t>欧盟</w:t>
      </w:r>
      <w:r>
        <w:rPr>
          <w:rFonts w:ascii="Times New Roman" w:hAnsi="Times New Roman"/>
          <w:sz w:val="28"/>
          <w:szCs w:val="28"/>
        </w:rPr>
        <w:t>成员国公告机构资质进行最终监督，对成员国市场限制措施进行欧盟层面复核，必要时采取统一全欧措施</w:t>
      </w:r>
      <w:r>
        <w:rPr>
          <w:rFonts w:hint="eastAsia" w:ascii="Times New Roman" w:hAnsi="Times New Roman"/>
          <w:sz w:val="28"/>
          <w:szCs w:val="28"/>
        </w:rPr>
        <w:t>。</w:t>
      </w:r>
    </w:p>
    <w:p w14:paraId="112981FF">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各成员国自行指定主管</w:t>
      </w:r>
      <w:r>
        <w:rPr>
          <w:rFonts w:hint="eastAsia" w:ascii="Times New Roman" w:hAnsi="Times New Roman"/>
          <w:sz w:val="28"/>
          <w:szCs w:val="28"/>
        </w:rPr>
        <w:t>机关</w:t>
      </w:r>
      <w:r>
        <w:rPr>
          <w:rFonts w:ascii="Times New Roman" w:hAnsi="Times New Roman"/>
          <w:sz w:val="28"/>
          <w:szCs w:val="28"/>
        </w:rPr>
        <w:t>（Competent Authority</w:t>
      </w:r>
      <w:r>
        <w:rPr>
          <w:rFonts w:hint="eastAsia" w:ascii="Times New Roman" w:hAnsi="Times New Roman"/>
          <w:sz w:val="28"/>
          <w:szCs w:val="28"/>
        </w:rPr>
        <w:t>，简称“</w:t>
      </w:r>
      <w:r>
        <w:rPr>
          <w:rFonts w:ascii="Times New Roman" w:hAnsi="Times New Roman"/>
          <w:sz w:val="28"/>
          <w:szCs w:val="28"/>
        </w:rPr>
        <w:t>CA</w:t>
      </w:r>
      <w:r>
        <w:rPr>
          <w:rFonts w:hint="eastAsia" w:ascii="Times New Roman" w:hAnsi="Times New Roman"/>
          <w:sz w:val="28"/>
          <w:szCs w:val="28"/>
        </w:rPr>
        <w:t>”</w:t>
      </w:r>
      <w:r>
        <w:rPr>
          <w:rFonts w:ascii="Times New Roman" w:hAnsi="Times New Roman"/>
          <w:sz w:val="28"/>
          <w:szCs w:val="28"/>
        </w:rPr>
        <w:t>），是法规落地的执行主体，在本国境内承担</w:t>
      </w:r>
      <w:r>
        <w:rPr>
          <w:rFonts w:hint="eastAsia" w:ascii="Times New Roman" w:hAnsi="Times New Roman"/>
          <w:sz w:val="28"/>
          <w:szCs w:val="28"/>
        </w:rPr>
        <w:t>医疗器械全链条</w:t>
      </w:r>
      <w:r>
        <w:rPr>
          <w:rFonts w:ascii="Times New Roman" w:hAnsi="Times New Roman"/>
          <w:sz w:val="28"/>
          <w:szCs w:val="28"/>
        </w:rPr>
        <w:t>监管职责</w:t>
      </w:r>
      <w:r>
        <w:rPr>
          <w:rFonts w:hint="eastAsia" w:ascii="Times New Roman" w:hAnsi="Times New Roman"/>
          <w:sz w:val="28"/>
          <w:szCs w:val="28"/>
        </w:rPr>
        <w:t>。临床研究方面，CA有权</w:t>
      </w:r>
      <w:r>
        <w:rPr>
          <w:rFonts w:ascii="Times New Roman" w:hAnsi="Times New Roman"/>
          <w:sz w:val="28"/>
          <w:szCs w:val="28"/>
        </w:rPr>
        <w:t>审批与</w:t>
      </w:r>
      <w:r>
        <w:rPr>
          <w:rFonts w:hint="eastAsia" w:ascii="Times New Roman" w:hAnsi="Times New Roman"/>
          <w:sz w:val="28"/>
          <w:szCs w:val="28"/>
        </w:rPr>
        <w:t>监督</w:t>
      </w:r>
      <w:r>
        <w:rPr>
          <w:rFonts w:ascii="Times New Roman" w:hAnsi="Times New Roman"/>
          <w:sz w:val="28"/>
          <w:szCs w:val="28"/>
        </w:rPr>
        <w:t>本国境内的医疗器械临床研究</w:t>
      </w:r>
      <w:r>
        <w:rPr>
          <w:rFonts w:hint="eastAsia" w:ascii="Times New Roman" w:hAnsi="Times New Roman"/>
          <w:sz w:val="28"/>
          <w:szCs w:val="28"/>
        </w:rPr>
        <w:t>。市场监督方面，CA有权</w:t>
      </w:r>
      <w:r>
        <w:rPr>
          <w:rFonts w:ascii="Times New Roman" w:hAnsi="Times New Roman"/>
          <w:sz w:val="28"/>
          <w:szCs w:val="28"/>
        </w:rPr>
        <w:t>开展合规抽查、文件核验、抽样检测、风险处置与召回执行</w:t>
      </w:r>
      <w:r>
        <w:rPr>
          <w:rFonts w:hint="eastAsia" w:ascii="Times New Roman" w:hAnsi="Times New Roman"/>
          <w:sz w:val="28"/>
          <w:szCs w:val="28"/>
        </w:rPr>
        <w:t>。产品</w:t>
      </w:r>
      <w:r>
        <w:rPr>
          <w:rFonts w:ascii="Times New Roman" w:hAnsi="Times New Roman"/>
          <w:sz w:val="28"/>
          <w:szCs w:val="28"/>
        </w:rPr>
        <w:t>警戒</w:t>
      </w:r>
      <w:r>
        <w:rPr>
          <w:rFonts w:hint="eastAsia" w:ascii="Times New Roman" w:hAnsi="Times New Roman"/>
          <w:sz w:val="28"/>
          <w:szCs w:val="28"/>
        </w:rPr>
        <w:t>方面</w:t>
      </w:r>
      <w:r>
        <w:rPr>
          <w:rFonts w:ascii="Times New Roman" w:hAnsi="Times New Roman"/>
          <w:sz w:val="28"/>
          <w:szCs w:val="28"/>
        </w:rPr>
        <w:t>，</w:t>
      </w:r>
      <w:r>
        <w:rPr>
          <w:rFonts w:hint="eastAsia" w:ascii="Times New Roman" w:hAnsi="Times New Roman"/>
          <w:sz w:val="28"/>
          <w:szCs w:val="28"/>
        </w:rPr>
        <w:t>CA负责</w:t>
      </w:r>
      <w:r>
        <w:rPr>
          <w:rFonts w:ascii="Times New Roman" w:hAnsi="Times New Roman"/>
          <w:sz w:val="28"/>
          <w:szCs w:val="28"/>
        </w:rPr>
        <w:t>接收严重事件报告、组织事件评估、协调现场安全纠正措施</w:t>
      </w:r>
      <w:r>
        <w:rPr>
          <w:rFonts w:hint="eastAsia" w:ascii="Times New Roman" w:hAnsi="Times New Roman"/>
          <w:sz w:val="28"/>
          <w:szCs w:val="28"/>
        </w:rPr>
        <w:t>。此外，CA还</w:t>
      </w:r>
      <w:r>
        <w:rPr>
          <w:rFonts w:ascii="Times New Roman" w:hAnsi="Times New Roman"/>
          <w:sz w:val="28"/>
          <w:szCs w:val="28"/>
        </w:rPr>
        <w:t>负责本国公告机构的指定、年度监督、再评估与处罚</w:t>
      </w:r>
      <w:r>
        <w:rPr>
          <w:rFonts w:hint="eastAsia" w:ascii="Times New Roman" w:hAnsi="Times New Roman"/>
          <w:sz w:val="28"/>
          <w:szCs w:val="28"/>
        </w:rPr>
        <w:t>。</w:t>
      </w:r>
    </w:p>
    <w:p w14:paraId="24FE0C06">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医疗器械协调组</w:t>
      </w:r>
      <w:r>
        <w:rPr>
          <w:rFonts w:hint="eastAsia" w:ascii="Times New Roman" w:hAnsi="Times New Roman"/>
          <w:sz w:val="28"/>
          <w:szCs w:val="28"/>
        </w:rPr>
        <w:t>（</w:t>
      </w:r>
      <w:r>
        <w:rPr>
          <w:rFonts w:ascii="Times New Roman" w:hAnsi="Times New Roman"/>
          <w:sz w:val="28"/>
          <w:szCs w:val="28"/>
        </w:rPr>
        <w:t>Medical Device Coordination Group，简称</w:t>
      </w:r>
      <w:r>
        <w:rPr>
          <w:rFonts w:hint="eastAsia" w:ascii="Times New Roman" w:hAnsi="Times New Roman"/>
          <w:sz w:val="28"/>
          <w:szCs w:val="28"/>
        </w:rPr>
        <w:t>“</w:t>
      </w:r>
      <w:r>
        <w:rPr>
          <w:rFonts w:ascii="Times New Roman" w:hAnsi="Times New Roman"/>
          <w:sz w:val="28"/>
          <w:szCs w:val="28"/>
        </w:rPr>
        <w:t>MDCG</w:t>
      </w:r>
      <w:r>
        <w:rPr>
          <w:rFonts w:hint="eastAsia" w:ascii="Times New Roman" w:hAnsi="Times New Roman"/>
          <w:sz w:val="28"/>
          <w:szCs w:val="28"/>
        </w:rPr>
        <w:t>”）</w:t>
      </w:r>
      <w:r>
        <w:rPr>
          <w:rFonts w:ascii="Times New Roman" w:hAnsi="Times New Roman"/>
          <w:sz w:val="28"/>
          <w:szCs w:val="28"/>
        </w:rPr>
        <w:t>，由各成员国主管机关代表组成，是欧盟层面的专业协调与咨询平台。其核心职能包括为公告机构资质评估提供专家意见，制定法规实施指南以统一各国执法尺度，协调跨成员国的市场监察、警戒、临床评价等事务，向欧委会提供技术、科学与临床建议。MDCG 发布的指南文件虽不具有强制法律效力，但为各国主管机关普遍遵循，是 MDR 实际执行的重要参考标准。</w:t>
      </w:r>
    </w:p>
    <w:p w14:paraId="697DA034">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欧盟医疗器械产品准入</w:t>
      </w:r>
    </w:p>
    <w:p w14:paraId="3B77E0CD">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在MDR施行以及EUDAMED模块强制适用的背景下，中国医疗器械制造商</w:t>
      </w:r>
      <w:r>
        <w:rPr>
          <w:rFonts w:ascii="Times New Roman" w:hAnsi="Times New Roman"/>
          <w:sz w:val="28"/>
          <w:szCs w:val="28"/>
        </w:rPr>
        <w:t>需</w:t>
      </w:r>
      <w:r>
        <w:rPr>
          <w:rFonts w:hint="eastAsia" w:ascii="Times New Roman" w:hAnsi="Times New Roman"/>
          <w:sz w:val="28"/>
          <w:szCs w:val="28"/>
        </w:rPr>
        <w:t>根据产品分类，</w:t>
      </w:r>
      <w:r>
        <w:rPr>
          <w:rFonts w:ascii="Times New Roman" w:hAnsi="Times New Roman"/>
          <w:sz w:val="28"/>
          <w:szCs w:val="28"/>
        </w:rPr>
        <w:t>遵循完整的准入合规路径</w:t>
      </w:r>
      <w:r>
        <w:rPr>
          <w:rFonts w:hint="eastAsia" w:ascii="Times New Roman" w:hAnsi="Times New Roman"/>
          <w:sz w:val="28"/>
          <w:szCs w:val="28"/>
        </w:rPr>
        <w:t>进入欧盟市场。</w:t>
      </w:r>
    </w:p>
    <w:p w14:paraId="1334D2FA">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首先，中国医疗器械制造商作为欧盟境外制造商，应根据MDR第11条之要求，</w:t>
      </w:r>
      <w:r>
        <w:rPr>
          <w:rFonts w:ascii="Times New Roman" w:hAnsi="Times New Roman"/>
          <w:sz w:val="28"/>
          <w:szCs w:val="28"/>
        </w:rPr>
        <w:t>指定唯一一家设立于欧盟境内的自然人或法人作为授权代表</w:t>
      </w:r>
      <w:r>
        <w:rPr>
          <w:rFonts w:hint="eastAsia" w:ascii="Times New Roman" w:hAnsi="Times New Roman"/>
          <w:sz w:val="28"/>
          <w:szCs w:val="28"/>
        </w:rPr>
        <w:t>（</w:t>
      </w:r>
      <w:r>
        <w:rPr>
          <w:rFonts w:ascii="Times New Roman" w:hAnsi="Times New Roman"/>
          <w:sz w:val="28"/>
          <w:szCs w:val="28"/>
        </w:rPr>
        <w:t>Authorised</w:t>
      </w:r>
      <w:r>
        <w:rPr>
          <w:rFonts w:hint="eastAsia" w:ascii="Times New Roman" w:hAnsi="Times New Roman"/>
          <w:sz w:val="28"/>
          <w:szCs w:val="28"/>
        </w:rPr>
        <w:t xml:space="preserve"> Representative，简称“AR”）</w:t>
      </w:r>
      <w:r>
        <w:rPr>
          <w:rFonts w:ascii="Times New Roman" w:hAnsi="Times New Roman"/>
          <w:sz w:val="28"/>
          <w:szCs w:val="28"/>
        </w:rPr>
        <w:t>， 作为</w:t>
      </w:r>
      <w:r>
        <w:rPr>
          <w:rFonts w:hint="eastAsia" w:ascii="Times New Roman" w:hAnsi="Times New Roman"/>
          <w:sz w:val="28"/>
          <w:szCs w:val="28"/>
        </w:rPr>
        <w:t>其</w:t>
      </w:r>
      <w:r>
        <w:rPr>
          <w:rFonts w:ascii="Times New Roman" w:hAnsi="Times New Roman"/>
          <w:sz w:val="28"/>
          <w:szCs w:val="28"/>
        </w:rPr>
        <w:t>在欧盟的法定监管代表</w:t>
      </w:r>
      <w:r>
        <w:rPr>
          <w:rFonts w:hint="eastAsia" w:ascii="Times New Roman" w:hAnsi="Times New Roman"/>
          <w:sz w:val="28"/>
          <w:szCs w:val="28"/>
        </w:rPr>
        <w:t>。AR</w:t>
      </w:r>
      <w:r>
        <w:rPr>
          <w:rFonts w:ascii="Times New Roman" w:hAnsi="Times New Roman"/>
          <w:sz w:val="28"/>
          <w:szCs w:val="28"/>
        </w:rPr>
        <w:t>承担核验技术文档与符合性声明、保管合规文件供监管调阅、对接成员国主管</w:t>
      </w:r>
      <w:r>
        <w:rPr>
          <w:rFonts w:hint="eastAsia" w:ascii="Times New Roman" w:hAnsi="Times New Roman"/>
          <w:sz w:val="28"/>
          <w:szCs w:val="28"/>
        </w:rPr>
        <w:t>机关</w:t>
      </w:r>
      <w:r>
        <w:rPr>
          <w:rFonts w:ascii="Times New Roman" w:hAnsi="Times New Roman"/>
          <w:sz w:val="28"/>
          <w:szCs w:val="28"/>
        </w:rPr>
        <w:t>、转发不良事件与投诉、配合监管纠正行动等法定职责，且</w:t>
      </w:r>
      <w:r>
        <w:rPr>
          <w:rFonts w:hint="eastAsia" w:ascii="Times New Roman" w:hAnsi="Times New Roman"/>
          <w:sz w:val="28"/>
          <w:szCs w:val="28"/>
        </w:rPr>
        <w:t>对</w:t>
      </w:r>
      <w:r>
        <w:rPr>
          <w:rFonts w:ascii="Times New Roman" w:hAnsi="Times New Roman"/>
          <w:sz w:val="28"/>
          <w:szCs w:val="28"/>
        </w:rPr>
        <w:t>产品缺陷</w:t>
      </w:r>
      <w:r>
        <w:rPr>
          <w:rFonts w:hint="eastAsia" w:ascii="Times New Roman" w:hAnsi="Times New Roman"/>
          <w:sz w:val="28"/>
          <w:szCs w:val="28"/>
        </w:rPr>
        <w:t>与非欧盟制造商</w:t>
      </w:r>
      <w:r>
        <w:rPr>
          <w:rFonts w:ascii="Times New Roman" w:hAnsi="Times New Roman"/>
          <w:sz w:val="28"/>
          <w:szCs w:val="28"/>
        </w:rPr>
        <w:t>承担连带责任。</w:t>
      </w:r>
      <w:r>
        <w:rPr>
          <w:rFonts w:hint="eastAsia" w:ascii="Times New Roman" w:hAnsi="Times New Roman"/>
          <w:sz w:val="28"/>
          <w:szCs w:val="28"/>
        </w:rPr>
        <w:t>非欧盟制造商应与欧盟授权代表</w:t>
      </w:r>
      <w:r>
        <w:rPr>
          <w:rFonts w:ascii="Times New Roman" w:hAnsi="Times New Roman"/>
          <w:sz w:val="28"/>
          <w:szCs w:val="28"/>
        </w:rPr>
        <w:t>签署书面授权协议</w:t>
      </w:r>
      <w:r>
        <w:rPr>
          <w:rFonts w:hint="eastAsia" w:ascii="Times New Roman" w:hAnsi="Times New Roman"/>
          <w:sz w:val="28"/>
          <w:szCs w:val="28"/>
        </w:rPr>
        <w:t>，</w:t>
      </w:r>
      <w:r>
        <w:rPr>
          <w:rFonts w:ascii="Times New Roman" w:hAnsi="Times New Roman"/>
          <w:sz w:val="28"/>
          <w:szCs w:val="28"/>
        </w:rPr>
        <w:t>明确授权范围与职责边界</w:t>
      </w:r>
      <w:r>
        <w:rPr>
          <w:rFonts w:hint="eastAsia" w:ascii="Times New Roman" w:hAnsi="Times New Roman"/>
          <w:sz w:val="28"/>
          <w:szCs w:val="28"/>
        </w:rPr>
        <w:t>，</w:t>
      </w:r>
      <w:r>
        <w:rPr>
          <w:rFonts w:ascii="Times New Roman" w:hAnsi="Times New Roman"/>
          <w:sz w:val="28"/>
          <w:szCs w:val="28"/>
        </w:rPr>
        <w:t>授权代表应以书面授权方式接受制造商的委托。</w:t>
      </w:r>
      <w:r>
        <w:rPr>
          <w:rFonts w:hint="eastAsia" w:ascii="Times New Roman" w:hAnsi="Times New Roman"/>
          <w:sz w:val="28"/>
          <w:szCs w:val="28"/>
        </w:rPr>
        <w:t>AR的确认与指定是非欧盟制造商产品准入的合规起点。具体而言，中国制造商须通过其欧盟授权代表完成EUDAMED</w:t>
      </w:r>
      <w:r>
        <w:rPr>
          <w:rFonts w:ascii="Times New Roman" w:hAnsi="Times New Roman"/>
          <w:sz w:val="28"/>
          <w:szCs w:val="28"/>
        </w:rPr>
        <w:t xml:space="preserve"> </w:t>
      </w:r>
      <w:r>
        <w:rPr>
          <w:rFonts w:hint="eastAsia" w:ascii="Times New Roman" w:hAnsi="Times New Roman"/>
          <w:sz w:val="28"/>
          <w:szCs w:val="28"/>
        </w:rPr>
        <w:t>经济运营商模块的注册，以获得单一注册号（</w:t>
      </w:r>
      <w:r>
        <w:rPr>
          <w:rFonts w:ascii="Times New Roman" w:hAnsi="Times New Roman"/>
          <w:sz w:val="28"/>
          <w:szCs w:val="28"/>
        </w:rPr>
        <w:t>Single Registration Number，</w:t>
      </w:r>
      <w:r>
        <w:rPr>
          <w:rFonts w:hint="eastAsia" w:ascii="Times New Roman" w:hAnsi="Times New Roman"/>
          <w:sz w:val="28"/>
          <w:szCs w:val="28"/>
        </w:rPr>
        <w:t>简称“</w:t>
      </w:r>
      <w:r>
        <w:rPr>
          <w:rFonts w:ascii="Times New Roman" w:hAnsi="Times New Roman"/>
          <w:sz w:val="28"/>
          <w:szCs w:val="28"/>
        </w:rPr>
        <w:t>SRN</w:t>
      </w:r>
      <w:r>
        <w:rPr>
          <w:rFonts w:hint="eastAsia" w:ascii="Times New Roman" w:hAnsi="Times New Roman"/>
          <w:sz w:val="28"/>
          <w:szCs w:val="28"/>
        </w:rPr>
        <w:t>”），该SRN是中国制造商</w:t>
      </w:r>
      <w:r>
        <w:rPr>
          <w:rFonts w:ascii="Times New Roman" w:hAnsi="Times New Roman"/>
          <w:sz w:val="28"/>
          <w:szCs w:val="28"/>
        </w:rPr>
        <w:t>后续所有监管交互、产品绑定、证书关联的唯一身份标识。</w:t>
      </w:r>
      <w:r>
        <w:rPr>
          <w:rFonts w:hint="eastAsia" w:ascii="Times New Roman" w:hAnsi="Times New Roman"/>
          <w:sz w:val="28"/>
          <w:szCs w:val="28"/>
        </w:rPr>
        <w:t>MDR要求</w:t>
      </w:r>
      <w:r>
        <w:rPr>
          <w:rFonts w:ascii="Times New Roman" w:hAnsi="Times New Roman"/>
          <w:sz w:val="28"/>
          <w:szCs w:val="28"/>
        </w:rPr>
        <w:t>每个制造商和每个授权代表都必须永久且持续地拥有至少一名具备相关专业背景与从业年限的法规合规负责人（Person Responsible for Regulatory Compliance</w:t>
      </w:r>
      <w:r>
        <w:rPr>
          <w:rFonts w:hint="eastAsia" w:ascii="Times New Roman" w:hAnsi="Times New Roman"/>
          <w:sz w:val="28"/>
          <w:szCs w:val="28"/>
        </w:rPr>
        <w:t>，简称“</w:t>
      </w:r>
      <w:r>
        <w:rPr>
          <w:rFonts w:ascii="Times New Roman" w:hAnsi="Times New Roman"/>
          <w:sz w:val="28"/>
          <w:szCs w:val="28"/>
        </w:rPr>
        <w:t>PRRC</w:t>
      </w:r>
      <w:r>
        <w:rPr>
          <w:rFonts w:hint="eastAsia" w:ascii="Times New Roman" w:hAnsi="Times New Roman"/>
          <w:sz w:val="28"/>
          <w:szCs w:val="28"/>
        </w:rPr>
        <w:t>”</w:t>
      </w:r>
      <w:r>
        <w:rPr>
          <w:rFonts w:ascii="Times New Roman" w:hAnsi="Times New Roman"/>
          <w:sz w:val="28"/>
          <w:szCs w:val="28"/>
        </w:rPr>
        <w:t>），授权代表的PRRC不得与制造商的PRRC为同一人。</w:t>
      </w:r>
      <w:r>
        <w:rPr>
          <w:rFonts w:hint="eastAsia" w:ascii="Times New Roman" w:hAnsi="Times New Roman"/>
          <w:sz w:val="28"/>
          <w:szCs w:val="28"/>
        </w:rPr>
        <w:t>PRRC</w:t>
      </w:r>
      <w:r>
        <w:rPr>
          <w:rFonts w:ascii="Times New Roman" w:hAnsi="Times New Roman"/>
          <w:sz w:val="28"/>
          <w:szCs w:val="28"/>
        </w:rPr>
        <w:t>专门负责产品合规性核查、技术文档维护、上市后监督义务履行等事务，授权代表必须在欧盟境内配备常驻 PRRC 人员</w:t>
      </w:r>
      <w:r>
        <w:rPr>
          <w:rFonts w:hint="eastAsia" w:ascii="Times New Roman" w:hAnsi="Times New Roman"/>
          <w:sz w:val="28"/>
          <w:szCs w:val="28"/>
        </w:rPr>
        <w:t>。</w:t>
      </w:r>
    </w:p>
    <w:p w14:paraId="3D18A197">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依据 MDR 第 11 条第 7 款，对于注册地不在欧盟的制造商，法规中所有提及</w:t>
      </w:r>
      <w:r>
        <w:rPr>
          <w:rFonts w:hint="eastAsia" w:ascii="Times New Roman" w:hAnsi="Times New Roman"/>
          <w:sz w:val="28"/>
          <w:szCs w:val="28"/>
        </w:rPr>
        <w:t>“</w:t>
      </w:r>
      <w:r>
        <w:rPr>
          <w:rFonts w:ascii="Times New Roman" w:hAnsi="Times New Roman"/>
          <w:sz w:val="28"/>
          <w:szCs w:val="28"/>
        </w:rPr>
        <w:t>制造商注册地成员国主管</w:t>
      </w:r>
      <w:r>
        <w:rPr>
          <w:rFonts w:hint="eastAsia" w:ascii="Times New Roman" w:hAnsi="Times New Roman"/>
          <w:sz w:val="28"/>
          <w:szCs w:val="28"/>
        </w:rPr>
        <w:t>机关”</w:t>
      </w:r>
      <w:r>
        <w:rPr>
          <w:rFonts w:ascii="Times New Roman" w:hAnsi="Times New Roman"/>
          <w:sz w:val="28"/>
          <w:szCs w:val="28"/>
        </w:rPr>
        <w:t>的场景，均应理解为授权代表注册地成员国的主管</w:t>
      </w:r>
      <w:r>
        <w:rPr>
          <w:rFonts w:hint="eastAsia" w:ascii="Times New Roman" w:hAnsi="Times New Roman"/>
          <w:sz w:val="28"/>
          <w:szCs w:val="28"/>
        </w:rPr>
        <w:t>机关。从实操来看，授权代表的属地会影响制造商日常监管对接的体验。德国、北欧国家的主管机关监管标准严谨，市场抽查频率高，对技术文档、临床证据的核查尺度细致，日常沟通对语言与合规细节的要求更高。荷兰、比利时等国的主管机关监管透明高效，英语普及度高，沟通成本更低，执法尺度相对温和专业。南欧、中东欧国家的监管资源相对有限，日常抽查频率较低。但</w:t>
      </w:r>
      <w:r>
        <w:rPr>
          <w:rFonts w:ascii="Times New Roman" w:hAnsi="Times New Roman"/>
          <w:sz w:val="28"/>
          <w:szCs w:val="28"/>
        </w:rPr>
        <w:t>依据 MDR 第 93 条，每个成员国的主管</w:t>
      </w:r>
      <w:r>
        <w:rPr>
          <w:rFonts w:hint="eastAsia" w:ascii="Times New Roman" w:hAnsi="Times New Roman"/>
          <w:sz w:val="28"/>
          <w:szCs w:val="28"/>
        </w:rPr>
        <w:t>机关</w:t>
      </w:r>
      <w:r>
        <w:rPr>
          <w:rFonts w:ascii="Times New Roman" w:hAnsi="Times New Roman"/>
          <w:sz w:val="28"/>
          <w:szCs w:val="28"/>
        </w:rPr>
        <w:t>在本国境内都享有完整的市场监察权，不受授权代表注册国的影响</w:t>
      </w:r>
      <w:r>
        <w:rPr>
          <w:rFonts w:hint="eastAsia" w:ascii="Times New Roman" w:hAnsi="Times New Roman"/>
          <w:sz w:val="28"/>
          <w:szCs w:val="28"/>
        </w:rPr>
        <w:t>。</w:t>
      </w:r>
      <w:r>
        <w:rPr>
          <w:rFonts w:ascii="Times New Roman" w:hAnsi="Times New Roman"/>
          <w:sz w:val="28"/>
          <w:szCs w:val="28"/>
        </w:rPr>
        <w:t>随着</w:t>
      </w:r>
      <w:r>
        <w:rPr>
          <w:rFonts w:hint="eastAsia" w:ascii="Times New Roman" w:hAnsi="Times New Roman"/>
          <w:sz w:val="28"/>
          <w:szCs w:val="28"/>
        </w:rPr>
        <w:t>EUDAMED</w:t>
      </w:r>
      <w:r>
        <w:rPr>
          <w:rFonts w:ascii="Times New Roman" w:hAnsi="Times New Roman"/>
          <w:sz w:val="28"/>
          <w:szCs w:val="28"/>
        </w:rPr>
        <w:t>市场</w:t>
      </w:r>
      <w:r>
        <w:rPr>
          <w:rFonts w:hint="eastAsia" w:ascii="Times New Roman" w:hAnsi="Times New Roman"/>
          <w:sz w:val="28"/>
          <w:szCs w:val="28"/>
        </w:rPr>
        <w:t>监督</w:t>
      </w:r>
      <w:r>
        <w:rPr>
          <w:rFonts w:ascii="Times New Roman" w:hAnsi="Times New Roman"/>
          <w:sz w:val="28"/>
          <w:szCs w:val="28"/>
        </w:rPr>
        <w:t>模块的全面运行，各国监管信息将实时共享，一国发现的违规问题会同步至全欧盟</w:t>
      </w:r>
      <w:r>
        <w:rPr>
          <w:rFonts w:hint="eastAsia" w:ascii="Times New Roman" w:hAnsi="Times New Roman"/>
          <w:sz w:val="28"/>
          <w:szCs w:val="28"/>
        </w:rPr>
        <w:t>。实务中，建议企业充分</w:t>
      </w:r>
      <w:r>
        <w:rPr>
          <w:rFonts w:ascii="Times New Roman" w:hAnsi="Times New Roman"/>
          <w:sz w:val="28"/>
          <w:szCs w:val="28"/>
        </w:rPr>
        <w:t>考量</w:t>
      </w:r>
      <w:r>
        <w:rPr>
          <w:rFonts w:hint="eastAsia" w:ascii="Times New Roman" w:hAnsi="Times New Roman"/>
          <w:sz w:val="28"/>
          <w:szCs w:val="28"/>
        </w:rPr>
        <w:t>授权代表属地、</w:t>
      </w:r>
      <w:r>
        <w:rPr>
          <w:rFonts w:ascii="Times New Roman" w:hAnsi="Times New Roman"/>
          <w:sz w:val="28"/>
          <w:szCs w:val="28"/>
        </w:rPr>
        <w:t>专业能力、沟通效率与同类产品服务经验</w:t>
      </w:r>
      <w:r>
        <w:rPr>
          <w:rFonts w:hint="eastAsia" w:ascii="Times New Roman" w:hAnsi="Times New Roman"/>
          <w:sz w:val="28"/>
          <w:szCs w:val="28"/>
        </w:rPr>
        <w:t>等因素再行决策。</w:t>
      </w:r>
    </w:p>
    <w:p w14:paraId="0F250D8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其次，中国医疗器械制造商应根据MDR附件确定产品分类，选择相应的符合性评估程序（如适用），完成产品合规准入。具体而言，</w:t>
      </w:r>
      <w:r>
        <w:rPr>
          <w:rFonts w:ascii="Times New Roman" w:hAnsi="Times New Roman"/>
          <w:sz w:val="28"/>
          <w:szCs w:val="28"/>
        </w:rPr>
        <w:t>普通 I 类非无菌、无测量功能的非植入器械，无需公告机构介入，制造商在完成全套技术文档、出具欧盟符合性声明（EU Declaration of Conformity</w:t>
      </w:r>
      <w:r>
        <w:rPr>
          <w:rFonts w:hint="eastAsia" w:ascii="Times New Roman" w:hAnsi="Times New Roman"/>
          <w:sz w:val="28"/>
          <w:szCs w:val="28"/>
        </w:rPr>
        <w:t>，简称“</w:t>
      </w:r>
      <w:r>
        <w:rPr>
          <w:rFonts w:ascii="Times New Roman" w:hAnsi="Times New Roman"/>
          <w:sz w:val="28"/>
          <w:szCs w:val="28"/>
        </w:rPr>
        <w:t>DoC</w:t>
      </w:r>
      <w:r>
        <w:rPr>
          <w:rFonts w:hint="eastAsia" w:ascii="Times New Roman" w:hAnsi="Times New Roman"/>
          <w:sz w:val="28"/>
          <w:szCs w:val="28"/>
        </w:rPr>
        <w:t>”</w:t>
      </w:r>
      <w:r>
        <w:rPr>
          <w:rFonts w:ascii="Times New Roman" w:hAnsi="Times New Roman"/>
          <w:sz w:val="28"/>
          <w:szCs w:val="28"/>
        </w:rPr>
        <w:t>）后</w:t>
      </w:r>
      <w:r>
        <w:rPr>
          <w:rFonts w:hint="eastAsia" w:ascii="Times New Roman" w:hAnsi="Times New Roman"/>
          <w:sz w:val="28"/>
          <w:szCs w:val="28"/>
        </w:rPr>
        <w:t>，</w:t>
      </w:r>
      <w:r>
        <w:rPr>
          <w:rFonts w:ascii="Times New Roman" w:hAnsi="Times New Roman"/>
          <w:sz w:val="28"/>
          <w:szCs w:val="28"/>
        </w:rPr>
        <w:t>即可加贴 CE 标志上市，属于自我声明合规路径。I 类</w:t>
      </w:r>
      <w:r>
        <w:rPr>
          <w:rFonts w:hint="eastAsia" w:ascii="Times New Roman" w:hAnsi="Times New Roman"/>
          <w:sz w:val="28"/>
          <w:szCs w:val="28"/>
        </w:rPr>
        <w:t>医疗器械中，</w:t>
      </w:r>
      <w:r>
        <w:rPr>
          <w:rFonts w:ascii="Times New Roman" w:hAnsi="Times New Roman"/>
          <w:sz w:val="28"/>
          <w:szCs w:val="28"/>
        </w:rPr>
        <w:t>属于以无菌状态上市的 I 类器械（Class Is）、带有测量功能的 I 类器械（Class Im），或是可重复使用的外科手术器械（Class Ir），则必须引入公告机构开展符合性评估，</w:t>
      </w:r>
      <w:r>
        <w:rPr>
          <w:rFonts w:hint="eastAsia" w:ascii="Times New Roman" w:hAnsi="Times New Roman"/>
          <w:sz w:val="28"/>
          <w:szCs w:val="28"/>
        </w:rPr>
        <w:t>此时</w:t>
      </w:r>
      <w:r>
        <w:rPr>
          <w:rFonts w:ascii="Times New Roman" w:hAnsi="Times New Roman"/>
          <w:sz w:val="28"/>
          <w:szCs w:val="28"/>
        </w:rPr>
        <w:t>公告机构</w:t>
      </w:r>
      <w:r>
        <w:rPr>
          <w:rFonts w:hint="eastAsia" w:ascii="Times New Roman" w:hAnsi="Times New Roman"/>
          <w:sz w:val="28"/>
          <w:szCs w:val="28"/>
        </w:rPr>
        <w:t>仅有限介入，其</w:t>
      </w:r>
      <w:r>
        <w:rPr>
          <w:rFonts w:ascii="Times New Roman" w:hAnsi="Times New Roman"/>
          <w:sz w:val="28"/>
          <w:szCs w:val="28"/>
        </w:rPr>
        <w:t>介入范围仅限于灭菌、计量或重复使用相关方面</w:t>
      </w:r>
      <w:r>
        <w:rPr>
          <w:rFonts w:hint="eastAsia" w:ascii="Times New Roman" w:hAnsi="Times New Roman"/>
          <w:sz w:val="28"/>
          <w:szCs w:val="28"/>
        </w:rPr>
        <w:t>。针对 IIa、IIb、III 类中高风险器械，MDR均要求公告机构介入开展符合性评估，但风险等级不同，评审深度、技术文档覆盖范围与附加要求各不相同。IIa 类器械有两种合规路径可选，一是基于MDR附件 IX 的主流路径，由公告机构审核质量管理体系，并对每个器械类别至少抽取 1 个代表性产品评审技术文档，适合系列化、多型号产品；二是基于MDR附件 XI 第 10 或 18 节的产品验证路径，配合MDR附件 II/III 全套技术文档开展评审，适合单品或小批量产品，两种路径法律效力等同。IIb 类器械原则上需公告机构实施全流程符合性评估，但非植入器械及缝合钉、骨螺钉、牙冠等技术高度成熟的豁免类植入器械，可按通用器械组抽样评审；除此之外的 IIb 类植入器械，需对每款产品逐一开展全项技术文档评审。III 类高风险器械原则上采用MDR附件 IX 全流程符合性评估，对每款产品开展全项技术文档评审，也可选择MDR附件 X 型式检验加MDR附件 XI 产品验证的路径。其中 III 类植入器械、IIb 类有源给药器械还需额外执行临床评价咨询程序（</w:t>
      </w:r>
      <w:r>
        <w:rPr>
          <w:rFonts w:ascii="Times New Roman" w:hAnsi="Times New Roman"/>
          <w:sz w:val="28"/>
          <w:szCs w:val="28"/>
        </w:rPr>
        <w:t>Clinical Evaluation Consultation Procedure</w:t>
      </w:r>
      <w:r>
        <w:rPr>
          <w:rFonts w:hint="eastAsia" w:ascii="Times New Roman" w:hAnsi="Times New Roman"/>
          <w:sz w:val="28"/>
          <w:szCs w:val="28"/>
        </w:rPr>
        <w:t>，CECP），由欧盟专家小组出具科学意见，但若属于证书续期、同厂已上市产品的安全修改、已有通用规范覆盖的情形，可豁免该程序。企业提交公告机构审核的技术文档一般包括以下八个方面：器械描述和说明、制造商需提供的信息、设计和制造信息、一般安全和性能要求、收益-风险分析和风险管理、产品验证和确认、上市后监督计划、欧盟符合性声明。根据MDR需经公告机构验证合规的产品取得符合性证书后，可加贴CE标志，符合性证书有效期最长不超过五年，期满需经重新评估后方可续期，</w:t>
      </w:r>
      <w:r>
        <w:rPr>
          <w:rFonts w:ascii="Times New Roman" w:hAnsi="Times New Roman"/>
          <w:sz w:val="28"/>
          <w:szCs w:val="28"/>
        </w:rPr>
        <w:t>每次续期有效期同样不超过五年</w:t>
      </w:r>
      <w:r>
        <w:rPr>
          <w:rFonts w:hint="eastAsia" w:ascii="Times New Roman" w:hAnsi="Times New Roman"/>
          <w:sz w:val="28"/>
          <w:szCs w:val="28"/>
        </w:rPr>
        <w:t>。</w:t>
      </w:r>
    </w:p>
    <w:p w14:paraId="7776BE21">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公告机构（Notified Body，简称“NB”）是MDR框架下独立第三方专业技术机构，</w:t>
      </w:r>
      <w:r>
        <w:rPr>
          <w:rFonts w:ascii="Times New Roman" w:hAnsi="Times New Roman"/>
          <w:sz w:val="28"/>
          <w:szCs w:val="28"/>
        </w:rPr>
        <w:t>在MDR项下承担技术文档评审、质量管理体系审核、监督审核</w:t>
      </w:r>
      <w:r>
        <w:rPr>
          <w:rFonts w:hint="eastAsia" w:ascii="Times New Roman" w:hAnsi="Times New Roman"/>
          <w:sz w:val="28"/>
          <w:szCs w:val="28"/>
        </w:rPr>
        <w:t>的</w:t>
      </w:r>
      <w:r>
        <w:rPr>
          <w:rFonts w:ascii="Times New Roman" w:hAnsi="Times New Roman"/>
          <w:sz w:val="28"/>
          <w:szCs w:val="28"/>
        </w:rPr>
        <w:t>职能</w:t>
      </w:r>
      <w:r>
        <w:rPr>
          <w:rFonts w:hint="eastAsia" w:ascii="Times New Roman" w:hAnsi="Times New Roman"/>
          <w:sz w:val="28"/>
          <w:szCs w:val="28"/>
        </w:rPr>
        <w:t>。公告机构</w:t>
      </w:r>
      <w:r>
        <w:rPr>
          <w:rFonts w:ascii="Times New Roman" w:hAnsi="Times New Roman"/>
          <w:sz w:val="28"/>
          <w:szCs w:val="28"/>
        </w:rPr>
        <w:t>由成员国主管</w:t>
      </w:r>
      <w:r>
        <w:rPr>
          <w:rFonts w:hint="eastAsia" w:ascii="Times New Roman" w:hAnsi="Times New Roman"/>
          <w:sz w:val="28"/>
          <w:szCs w:val="28"/>
        </w:rPr>
        <w:t>机关</w:t>
      </w:r>
      <w:r>
        <w:rPr>
          <w:rFonts w:ascii="Times New Roman" w:hAnsi="Times New Roman"/>
          <w:sz w:val="28"/>
          <w:szCs w:val="28"/>
        </w:rPr>
        <w:t>提名</w:t>
      </w:r>
      <w:r>
        <w:rPr>
          <w:rFonts w:hint="eastAsia" w:ascii="Times New Roman" w:hAnsi="Times New Roman"/>
          <w:sz w:val="28"/>
          <w:szCs w:val="28"/>
        </w:rPr>
        <w:t>，</w:t>
      </w:r>
      <w:r>
        <w:rPr>
          <w:rFonts w:ascii="Times New Roman" w:hAnsi="Times New Roman"/>
          <w:sz w:val="28"/>
          <w:szCs w:val="28"/>
        </w:rPr>
        <w:t>经欧盟层面联合评估通过</w:t>
      </w:r>
      <w:r>
        <w:rPr>
          <w:rFonts w:hint="eastAsia" w:ascii="Times New Roman" w:hAnsi="Times New Roman"/>
          <w:sz w:val="28"/>
          <w:szCs w:val="28"/>
        </w:rPr>
        <w:t>后，</w:t>
      </w:r>
      <w:r>
        <w:rPr>
          <w:rFonts w:ascii="Times New Roman" w:hAnsi="Times New Roman"/>
          <w:sz w:val="28"/>
          <w:szCs w:val="28"/>
        </w:rPr>
        <w:t>统一</w:t>
      </w:r>
      <w:r>
        <w:rPr>
          <w:rFonts w:hint="eastAsia" w:ascii="Times New Roman" w:hAnsi="Times New Roman"/>
          <w:sz w:val="28"/>
          <w:szCs w:val="28"/>
        </w:rPr>
        <w:t>公示于</w:t>
      </w:r>
      <w:r>
        <w:rPr>
          <w:rFonts w:ascii="Times New Roman" w:hAnsi="Times New Roman"/>
          <w:sz w:val="28"/>
          <w:szCs w:val="28"/>
        </w:rPr>
        <w:t>欧盟官方的新方法公告与指定机构数据库（New Approach Notified and Designated Organisations</w:t>
      </w:r>
      <w:r>
        <w:rPr>
          <w:rFonts w:hint="eastAsia" w:ascii="Times New Roman" w:hAnsi="Times New Roman"/>
          <w:sz w:val="28"/>
          <w:szCs w:val="28"/>
        </w:rPr>
        <w:t>，简称“</w:t>
      </w:r>
      <w:r>
        <w:rPr>
          <w:rFonts w:ascii="Times New Roman" w:hAnsi="Times New Roman"/>
          <w:sz w:val="28"/>
          <w:szCs w:val="28"/>
        </w:rPr>
        <w:t>NANDO</w:t>
      </w:r>
      <w:r>
        <w:rPr>
          <w:rFonts w:hint="eastAsia" w:ascii="Times New Roman" w:hAnsi="Times New Roman"/>
          <w:sz w:val="28"/>
          <w:szCs w:val="28"/>
        </w:rPr>
        <w:t>”</w:t>
      </w:r>
      <w:r>
        <w:rPr>
          <w:rFonts w:ascii="Times New Roman" w:hAnsi="Times New Roman"/>
          <w:sz w:val="28"/>
          <w:szCs w:val="28"/>
        </w:rPr>
        <w:t>）</w:t>
      </w:r>
      <w:r>
        <w:rPr>
          <w:rStyle w:val="24"/>
          <w:rFonts w:ascii="Times New Roman" w:hAnsi="Times New Roman"/>
          <w:sz w:val="28"/>
          <w:szCs w:val="28"/>
        </w:rPr>
        <w:footnoteReference w:id="1"/>
      </w:r>
      <w:r>
        <w:rPr>
          <w:rFonts w:hint="eastAsia" w:ascii="Times New Roman" w:hAnsi="Times New Roman"/>
          <w:sz w:val="28"/>
          <w:szCs w:val="28"/>
        </w:rPr>
        <w:t>。</w:t>
      </w:r>
      <w:r>
        <w:rPr>
          <w:rFonts w:ascii="Times New Roman" w:hAnsi="Times New Roman"/>
          <w:sz w:val="28"/>
          <w:szCs w:val="28"/>
        </w:rPr>
        <w:t>公告机构</w:t>
      </w:r>
      <w:r>
        <w:rPr>
          <w:rFonts w:hint="eastAsia" w:ascii="Times New Roman" w:hAnsi="Times New Roman"/>
          <w:sz w:val="28"/>
          <w:szCs w:val="28"/>
        </w:rPr>
        <w:t>均</w:t>
      </w:r>
      <w:r>
        <w:rPr>
          <w:rFonts w:ascii="Times New Roman" w:hAnsi="Times New Roman"/>
          <w:sz w:val="28"/>
          <w:szCs w:val="28"/>
        </w:rPr>
        <w:t>有明确且限定的授权范围，仅可在授权的产品类别与评估活动范围内开展业务，其</w:t>
      </w:r>
      <w:r>
        <w:rPr>
          <w:rFonts w:hint="eastAsia" w:ascii="Times New Roman" w:hAnsi="Times New Roman"/>
          <w:sz w:val="28"/>
          <w:szCs w:val="28"/>
        </w:rPr>
        <w:t>在授权范围内</w:t>
      </w:r>
      <w:r>
        <w:rPr>
          <w:rFonts w:ascii="Times New Roman" w:hAnsi="Times New Roman"/>
          <w:sz w:val="28"/>
          <w:szCs w:val="28"/>
        </w:rPr>
        <w:t>出具的符合性证书具有法定效力。</w:t>
      </w:r>
      <w:r>
        <w:rPr>
          <w:rFonts w:hint="eastAsia" w:ascii="Times New Roman" w:hAnsi="Times New Roman"/>
          <w:sz w:val="28"/>
          <w:szCs w:val="28"/>
        </w:rPr>
        <w:t>中国制造商在选择公告机构时，建议通过</w:t>
      </w:r>
      <w:r>
        <w:rPr>
          <w:rFonts w:ascii="Times New Roman" w:hAnsi="Times New Roman"/>
          <w:sz w:val="28"/>
          <w:szCs w:val="28"/>
        </w:rPr>
        <w:t>NANDO核验资质，</w:t>
      </w:r>
      <w:r>
        <w:rPr>
          <w:rFonts w:hint="eastAsia" w:ascii="Times New Roman" w:hAnsi="Times New Roman"/>
          <w:sz w:val="28"/>
          <w:szCs w:val="28"/>
        </w:rPr>
        <w:t>并确认其</w:t>
      </w:r>
      <w:r>
        <w:rPr>
          <w:rFonts w:ascii="Times New Roman" w:hAnsi="Times New Roman"/>
          <w:sz w:val="28"/>
          <w:szCs w:val="28"/>
        </w:rPr>
        <w:t>授权范围是否精确覆盖目标产品的分类代码与拟采用的认证</w:t>
      </w:r>
      <w:r>
        <w:rPr>
          <w:rFonts w:hint="eastAsia" w:ascii="Times New Roman" w:hAnsi="Times New Roman"/>
          <w:sz w:val="28"/>
          <w:szCs w:val="28"/>
        </w:rPr>
        <w:t>路径，企业可</w:t>
      </w:r>
      <w:r>
        <w:rPr>
          <w:rFonts w:ascii="Times New Roman" w:hAnsi="Times New Roman"/>
          <w:sz w:val="28"/>
          <w:szCs w:val="28"/>
        </w:rPr>
        <w:t>优先选择同品类产品认证案例丰富的</w:t>
      </w:r>
      <w:r>
        <w:rPr>
          <w:rFonts w:hint="eastAsia" w:ascii="Times New Roman" w:hAnsi="Times New Roman"/>
          <w:sz w:val="28"/>
          <w:szCs w:val="28"/>
        </w:rPr>
        <w:t>公告</w:t>
      </w:r>
      <w:r>
        <w:rPr>
          <w:rFonts w:ascii="Times New Roman" w:hAnsi="Times New Roman"/>
          <w:sz w:val="28"/>
          <w:szCs w:val="28"/>
        </w:rPr>
        <w:t>机构，避免因技术熟悉度不足导致审核周期拉长或标准偏差。</w:t>
      </w:r>
      <w:r>
        <w:rPr>
          <w:rFonts w:hint="eastAsia" w:ascii="Times New Roman" w:hAnsi="Times New Roman"/>
          <w:sz w:val="28"/>
          <w:szCs w:val="28"/>
        </w:rPr>
        <w:t>尽管</w:t>
      </w:r>
      <w:r>
        <w:rPr>
          <w:rFonts w:ascii="Times New Roman" w:hAnsi="Times New Roman"/>
          <w:sz w:val="28"/>
          <w:szCs w:val="28"/>
        </w:rPr>
        <w:t>所有具备合法资质的公告机构出具的有效证书在全欧盟范围效力均等，但在实践中，不同</w:t>
      </w:r>
      <w:r>
        <w:rPr>
          <w:rFonts w:hint="eastAsia" w:ascii="Times New Roman" w:hAnsi="Times New Roman"/>
          <w:sz w:val="28"/>
          <w:szCs w:val="28"/>
        </w:rPr>
        <w:t>公告</w:t>
      </w:r>
      <w:r>
        <w:rPr>
          <w:rFonts w:ascii="Times New Roman" w:hAnsi="Times New Roman"/>
          <w:sz w:val="28"/>
          <w:szCs w:val="28"/>
        </w:rPr>
        <w:t>机构的市场认可度存在差异</w:t>
      </w:r>
      <w:r>
        <w:rPr>
          <w:rFonts w:hint="eastAsia" w:ascii="Times New Roman" w:hAnsi="Times New Roman"/>
          <w:sz w:val="28"/>
          <w:szCs w:val="28"/>
        </w:rPr>
        <w:t>。比如</w:t>
      </w:r>
      <w:r>
        <w:rPr>
          <w:rFonts w:ascii="Times New Roman" w:hAnsi="Times New Roman"/>
          <w:sz w:val="28"/>
          <w:szCs w:val="28"/>
        </w:rPr>
        <w:t>德国头部机构的证书在高端医院采购、医保编码评审中接受度更高，</w:t>
      </w:r>
      <w:r>
        <w:rPr>
          <w:rFonts w:hint="eastAsia" w:ascii="Times New Roman" w:hAnsi="Times New Roman"/>
          <w:sz w:val="28"/>
          <w:szCs w:val="28"/>
        </w:rPr>
        <w:t>而</w:t>
      </w:r>
      <w:r>
        <w:rPr>
          <w:rFonts w:ascii="Times New Roman" w:hAnsi="Times New Roman"/>
          <w:sz w:val="28"/>
          <w:szCs w:val="28"/>
        </w:rPr>
        <w:t>小众机构认证的产品可能面临更高的监管抽查概率，企业可根据产品定位与目标市场权衡选择</w:t>
      </w:r>
      <w:r>
        <w:rPr>
          <w:rFonts w:hint="eastAsia" w:ascii="Times New Roman" w:hAnsi="Times New Roman"/>
          <w:sz w:val="28"/>
          <w:szCs w:val="28"/>
        </w:rPr>
        <w:t>。</w:t>
      </w:r>
    </w:p>
    <w:p w14:paraId="52384726">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根据MDR第24条，符合MDR准入要求的医疗器械可在欧盟27个成员国内自由流通。目前，欧盟成员国具体包括如下国家：</w:t>
      </w:r>
      <w:r>
        <w:rPr>
          <w:rFonts w:ascii="Times New Roman" w:hAnsi="Times New Roman"/>
          <w:sz w:val="28"/>
          <w:szCs w:val="28"/>
        </w:rPr>
        <w:t>奥地利、比利时、保加利亚、克罗地亚、塞浦路斯、捷克</w:t>
      </w:r>
      <w:r>
        <w:rPr>
          <w:rFonts w:hint="eastAsia" w:ascii="Times New Roman" w:hAnsi="Times New Roman"/>
          <w:sz w:val="28"/>
          <w:szCs w:val="28"/>
        </w:rPr>
        <w:t>、</w:t>
      </w:r>
      <w:r>
        <w:rPr>
          <w:rFonts w:ascii="Times New Roman" w:hAnsi="Times New Roman"/>
          <w:sz w:val="28"/>
          <w:szCs w:val="28"/>
        </w:rPr>
        <w:t>丹麦、爱沙尼亚、芬兰、法国、德国、希腊、匈牙利、爱尔兰、意大利、拉脱维亚、立陶宛</w:t>
      </w:r>
      <w:r>
        <w:rPr>
          <w:rFonts w:hint="eastAsia" w:ascii="Times New Roman" w:hAnsi="Times New Roman"/>
          <w:sz w:val="28"/>
          <w:szCs w:val="28"/>
        </w:rPr>
        <w:t>、</w:t>
      </w:r>
      <w:r>
        <w:rPr>
          <w:rFonts w:ascii="Times New Roman" w:hAnsi="Times New Roman"/>
          <w:sz w:val="28"/>
          <w:szCs w:val="28"/>
        </w:rPr>
        <w:t>卢森堡、马耳他</w:t>
      </w:r>
      <w:r>
        <w:rPr>
          <w:rFonts w:hint="eastAsia" w:ascii="Times New Roman" w:hAnsi="Times New Roman"/>
          <w:sz w:val="28"/>
          <w:szCs w:val="28"/>
        </w:rPr>
        <w:t>、</w:t>
      </w:r>
      <w:r>
        <w:rPr>
          <w:rFonts w:ascii="Times New Roman" w:hAnsi="Times New Roman"/>
          <w:sz w:val="28"/>
          <w:szCs w:val="28"/>
        </w:rPr>
        <w:t>荷兰、波兰、葡萄牙、罗马尼亚、斯洛伐克、斯洛文尼亚、西班牙、瑞典。</w:t>
      </w:r>
      <w:r>
        <w:rPr>
          <w:rFonts w:hint="eastAsia" w:ascii="Times New Roman" w:hAnsi="Times New Roman"/>
          <w:sz w:val="28"/>
          <w:szCs w:val="28"/>
        </w:rPr>
        <w:t>根据</w:t>
      </w:r>
      <w:r>
        <w:rPr>
          <w:rFonts w:ascii="Times New Roman" w:hAnsi="Times New Roman"/>
          <w:sz w:val="28"/>
          <w:szCs w:val="28"/>
        </w:rPr>
        <w:t>《欧洲经济区协定》（EEA Agreement）第 7 条，</w:t>
      </w:r>
      <w:r>
        <w:rPr>
          <w:rFonts w:hint="eastAsia" w:ascii="Times New Roman" w:hAnsi="Times New Roman"/>
          <w:sz w:val="28"/>
          <w:szCs w:val="28"/>
        </w:rPr>
        <w:t>MDR已</w:t>
      </w:r>
      <w:r>
        <w:rPr>
          <w:rFonts w:ascii="Times New Roman" w:hAnsi="Times New Roman"/>
          <w:sz w:val="28"/>
          <w:szCs w:val="28"/>
        </w:rPr>
        <w:t>通过 EEA 联合委员会第 158/2021 号决定正式纳入</w:t>
      </w:r>
      <w:r>
        <w:rPr>
          <w:rFonts w:hint="eastAsia" w:ascii="Times New Roman" w:hAnsi="Times New Roman"/>
          <w:sz w:val="28"/>
          <w:szCs w:val="28"/>
        </w:rPr>
        <w:t>欧洲经济区（European Economic Area，简称“</w:t>
      </w:r>
      <w:r>
        <w:rPr>
          <w:rFonts w:ascii="Times New Roman" w:hAnsi="Times New Roman"/>
          <w:sz w:val="28"/>
          <w:szCs w:val="28"/>
        </w:rPr>
        <w:t>EEA</w:t>
      </w:r>
      <w:r>
        <w:rPr>
          <w:rFonts w:hint="eastAsia" w:ascii="Times New Roman" w:hAnsi="Times New Roman"/>
          <w:sz w:val="28"/>
          <w:szCs w:val="28"/>
        </w:rPr>
        <w:t>”）</w:t>
      </w:r>
      <w:r>
        <w:rPr>
          <w:rFonts w:ascii="Times New Roman" w:hAnsi="Times New Roman"/>
          <w:sz w:val="28"/>
          <w:szCs w:val="28"/>
        </w:rPr>
        <w:t>法律体系，适用于挪威、冰岛、列支敦士登。</w:t>
      </w:r>
      <w:r>
        <w:rPr>
          <w:rFonts w:hint="eastAsia" w:ascii="Times New Roman" w:hAnsi="Times New Roman"/>
          <w:sz w:val="28"/>
          <w:szCs w:val="28"/>
        </w:rPr>
        <w:t>故</w:t>
      </w:r>
      <w:r>
        <w:rPr>
          <w:rFonts w:ascii="Times New Roman" w:hAnsi="Times New Roman"/>
          <w:sz w:val="28"/>
          <w:szCs w:val="28"/>
        </w:rPr>
        <w:t>符合 MDR 要求加贴 CE 标志的产品</w:t>
      </w:r>
      <w:r>
        <w:rPr>
          <w:rFonts w:hint="eastAsia" w:ascii="Times New Roman" w:hAnsi="Times New Roman"/>
          <w:sz w:val="28"/>
          <w:szCs w:val="28"/>
        </w:rPr>
        <w:t>亦</w:t>
      </w:r>
      <w:r>
        <w:rPr>
          <w:rFonts w:ascii="Times New Roman" w:hAnsi="Times New Roman"/>
          <w:sz w:val="28"/>
          <w:szCs w:val="28"/>
        </w:rPr>
        <w:t>可</w:t>
      </w:r>
      <w:r>
        <w:rPr>
          <w:rFonts w:hint="eastAsia" w:ascii="Times New Roman" w:hAnsi="Times New Roman"/>
          <w:sz w:val="28"/>
          <w:szCs w:val="28"/>
        </w:rPr>
        <w:t>在上述3国</w:t>
      </w:r>
      <w:r>
        <w:rPr>
          <w:rFonts w:ascii="Times New Roman" w:hAnsi="Times New Roman"/>
          <w:sz w:val="28"/>
          <w:szCs w:val="28"/>
        </w:rPr>
        <w:t>自由流通，无需重复认证。</w:t>
      </w:r>
    </w:p>
    <w:p w14:paraId="540E615C">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基于《欧盟 - 土耳其关税同盟协定》第 10 条关于技术法规对齐与符合性评估互认的安排，以及欧盟 - 土耳其协会理事会第 1/2006 号决定，土耳其已将 MDR 完整转化为本国立法，并有权指定符合资质的公告机构。土耳其公告机构颁发的 MDR 符合性证书，在欧盟全境具有完全法律效力，可作为产品进入欧盟市场的合规依据；反之欧盟公告机构证书也可直接用于土耳其市场准入。</w:t>
      </w:r>
    </w:p>
    <w:p w14:paraId="46B9D71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欧盟CE标志在部分国家虽不具备市场准入效力，但对于简化本地注册程序有一定积极作用。部分国家与欧盟签订了</w:t>
      </w:r>
      <w:r>
        <w:rPr>
          <w:rFonts w:ascii="Times New Roman" w:hAnsi="Times New Roman"/>
          <w:sz w:val="28"/>
          <w:szCs w:val="28"/>
        </w:rPr>
        <w:t>双边符合性评估互认协议（MRA</w:t>
      </w:r>
      <w:r>
        <w:rPr>
          <w:rFonts w:hint="eastAsia" w:ascii="Times New Roman" w:hAnsi="Times New Roman"/>
          <w:sz w:val="28"/>
          <w:szCs w:val="28"/>
        </w:rPr>
        <w:t>）</w:t>
      </w:r>
      <w:r>
        <w:rPr>
          <w:rFonts w:ascii="Times New Roman" w:hAnsi="Times New Roman"/>
          <w:sz w:val="28"/>
          <w:szCs w:val="28"/>
        </w:rPr>
        <w:t>，CE 标志可直接用于简化本地注册，减免重复测试与体系评审，典型代表为加拿大、新西兰、瑞士。加拿大的依据是《欧盟 - 加拿大全面经济与贸易协定》（CETA）项下的《符合性评估结果互认议定书》，医疗器械被列入优先互认领域，双方互认对方公告机构的评估结果，持 CE 标志的产品进入加拿大市场时，可基于欧盟的评估结果简化注册流程，无需完全重复本地认证。新西兰依据《欧盟 - 新西兰互认协定》覆盖医疗器械领域的条款，其监管机构认可欧盟 CE 认证作为产品安全与性能的核心证明，大幅缩短本地注册评审周期，减免部分技术评审要求。瑞士虽未加入 EEA，但与欧盟签有专门的医疗器械互认协议，CE 标志可作为瑞士市场准入的核心合规依据，仅需完成少量本地备案即可上市，无需重复全流程符合性评估。</w:t>
      </w:r>
      <w:r>
        <w:rPr>
          <w:rFonts w:hint="eastAsia" w:ascii="Times New Roman" w:hAnsi="Times New Roman"/>
          <w:sz w:val="28"/>
          <w:szCs w:val="28"/>
        </w:rPr>
        <w:t>部分国家虽未与欧盟签订</w:t>
      </w:r>
      <w:r>
        <w:rPr>
          <w:rFonts w:ascii="Times New Roman" w:hAnsi="Times New Roman"/>
          <w:sz w:val="28"/>
          <w:szCs w:val="28"/>
        </w:rPr>
        <w:t>双边符合性评估互认协议</w:t>
      </w:r>
      <w:r>
        <w:rPr>
          <w:rFonts w:hint="eastAsia" w:ascii="Times New Roman" w:hAnsi="Times New Roman"/>
          <w:sz w:val="28"/>
          <w:szCs w:val="28"/>
        </w:rPr>
        <w:t>，但仍将</w:t>
      </w:r>
      <w:r>
        <w:rPr>
          <w:rFonts w:ascii="Times New Roman" w:hAnsi="Times New Roman"/>
          <w:sz w:val="28"/>
          <w:szCs w:val="28"/>
        </w:rPr>
        <w:t xml:space="preserve">CE </w:t>
      </w:r>
      <w:r>
        <w:rPr>
          <w:rFonts w:hint="eastAsia" w:ascii="Times New Roman" w:hAnsi="Times New Roman"/>
          <w:sz w:val="28"/>
          <w:szCs w:val="28"/>
        </w:rPr>
        <w:t>标志</w:t>
      </w:r>
      <w:r>
        <w:rPr>
          <w:rFonts w:ascii="Times New Roman" w:hAnsi="Times New Roman"/>
          <w:sz w:val="28"/>
          <w:szCs w:val="28"/>
        </w:rPr>
        <w:t>作为</w:t>
      </w:r>
      <w:r>
        <w:rPr>
          <w:rFonts w:hint="eastAsia" w:ascii="Times New Roman" w:hAnsi="Times New Roman"/>
          <w:sz w:val="28"/>
          <w:szCs w:val="28"/>
        </w:rPr>
        <w:t>产品准入的</w:t>
      </w:r>
      <w:r>
        <w:rPr>
          <w:rFonts w:ascii="Times New Roman" w:hAnsi="Times New Roman"/>
          <w:sz w:val="28"/>
          <w:szCs w:val="28"/>
        </w:rPr>
        <w:t>重要参考依据</w:t>
      </w:r>
      <w:r>
        <w:rPr>
          <w:rFonts w:hint="eastAsia" w:ascii="Times New Roman" w:hAnsi="Times New Roman"/>
          <w:sz w:val="28"/>
          <w:szCs w:val="28"/>
        </w:rPr>
        <w:t>，例如，</w:t>
      </w:r>
      <w:r>
        <w:rPr>
          <w:rFonts w:ascii="Times New Roman" w:hAnsi="Times New Roman"/>
          <w:sz w:val="28"/>
          <w:szCs w:val="28"/>
        </w:rPr>
        <w:t>以色列、韩国、澳大利亚、新加坡</w:t>
      </w:r>
      <w:r>
        <w:rPr>
          <w:rFonts w:hint="eastAsia" w:ascii="Times New Roman" w:hAnsi="Times New Roman"/>
          <w:sz w:val="28"/>
          <w:szCs w:val="28"/>
        </w:rPr>
        <w:t>等</w:t>
      </w:r>
      <w:r>
        <w:rPr>
          <w:rFonts w:ascii="Times New Roman" w:hAnsi="Times New Roman"/>
          <w:sz w:val="28"/>
          <w:szCs w:val="28"/>
        </w:rPr>
        <w:t>国家。这些国家的监管机构普遍将欧盟 CE 认证视为产品质量安全的权威佐证，通常可豁免部分本地测试、缩短技术审评周期，但产品仍需向本国主管部门提交正式注册申请，不能直接凭 CE 标志上市销售。</w:t>
      </w:r>
    </w:p>
    <w:p w14:paraId="73DA3EB7">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此外</w:t>
      </w:r>
      <w:r>
        <w:rPr>
          <w:rFonts w:hint="eastAsia" w:ascii="Times New Roman" w:hAnsi="Times New Roman"/>
          <w:sz w:val="28"/>
          <w:szCs w:val="28"/>
        </w:rPr>
        <w:t>，</w:t>
      </w:r>
      <w:r>
        <w:rPr>
          <w:rFonts w:ascii="Times New Roman" w:hAnsi="Times New Roman"/>
          <w:sz w:val="28"/>
          <w:szCs w:val="28"/>
        </w:rPr>
        <w:t>依据英国《2023 年药品与医疗器械法》的过渡安排，符合欧盟 MDR 要求的 CE 标志医疗器械，可在英格兰、苏格兰和威尔士市场销售至 2030 年 6 月 30 日，无需额外申请 UKCA 认证</w:t>
      </w:r>
      <w:r>
        <w:rPr>
          <w:rFonts w:hint="eastAsia" w:ascii="Times New Roman" w:hAnsi="Times New Roman"/>
          <w:sz w:val="28"/>
          <w:szCs w:val="28"/>
        </w:rPr>
        <w:t>。</w:t>
      </w:r>
    </w:p>
    <w:p w14:paraId="729DA834">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欧盟医疗器械进口合规</w:t>
      </w:r>
    </w:p>
    <w:p w14:paraId="6C813CAE">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依据 MDR 第 13 条，</w:t>
      </w:r>
      <w:r>
        <w:rPr>
          <w:rFonts w:hint="eastAsia" w:ascii="Times New Roman" w:hAnsi="Times New Roman"/>
          <w:sz w:val="28"/>
          <w:szCs w:val="28"/>
        </w:rPr>
        <w:t>非欧盟制造商需通过进口商（Importer）</w:t>
      </w:r>
      <w:r>
        <w:rPr>
          <w:rFonts w:ascii="Times New Roman" w:hAnsi="Times New Roman"/>
          <w:sz w:val="28"/>
          <w:szCs w:val="28"/>
        </w:rPr>
        <w:t>将产品首次投放欧盟市场</w:t>
      </w:r>
      <w:r>
        <w:rPr>
          <w:rFonts w:hint="eastAsia" w:ascii="Times New Roman" w:hAnsi="Times New Roman"/>
          <w:sz w:val="28"/>
          <w:szCs w:val="28"/>
        </w:rPr>
        <w:t>，</w:t>
      </w:r>
      <w:r>
        <w:rPr>
          <w:rFonts w:ascii="Times New Roman" w:hAnsi="Times New Roman"/>
          <w:sz w:val="28"/>
          <w:szCs w:val="28"/>
        </w:rPr>
        <w:t>进口商</w:t>
      </w:r>
      <w:r>
        <w:rPr>
          <w:rFonts w:hint="eastAsia" w:ascii="Times New Roman" w:hAnsi="Times New Roman"/>
          <w:sz w:val="28"/>
          <w:szCs w:val="28"/>
        </w:rPr>
        <w:t>是指</w:t>
      </w:r>
      <w:r>
        <w:rPr>
          <w:rFonts w:ascii="Times New Roman" w:hAnsi="Times New Roman"/>
          <w:sz w:val="28"/>
          <w:szCs w:val="28"/>
        </w:rPr>
        <w:t>在欧盟境内设立的、将第三国器械投放欧盟市场的</w:t>
      </w:r>
      <w:r>
        <w:rPr>
          <w:rFonts w:hint="eastAsia" w:ascii="Times New Roman" w:hAnsi="Times New Roman"/>
          <w:sz w:val="28"/>
          <w:szCs w:val="28"/>
        </w:rPr>
        <w:t>主体，进口商也需要</w:t>
      </w:r>
      <w:r>
        <w:rPr>
          <w:rFonts w:ascii="Times New Roman" w:hAnsi="Times New Roman"/>
          <w:sz w:val="28"/>
          <w:szCs w:val="28"/>
        </w:rPr>
        <w:t>在EUDAMED中注册并持有单一注册号（SRN）</w:t>
      </w:r>
      <w:r>
        <w:rPr>
          <w:rFonts w:hint="eastAsia" w:ascii="Times New Roman" w:hAnsi="Times New Roman"/>
          <w:sz w:val="28"/>
          <w:szCs w:val="28"/>
        </w:rPr>
        <w:t>。</w:t>
      </w:r>
      <w:r>
        <w:rPr>
          <w:rFonts w:ascii="Times New Roman" w:hAnsi="Times New Roman"/>
          <w:sz w:val="28"/>
          <w:szCs w:val="28"/>
        </w:rPr>
        <w:t>MDR 层面的进口商是承担合规责任的法定主体，和海关层面的报关义务人可以不是同一主体，实践中很多企业会委托当地货代负责海关申报，另行指定符合资质的主体承担 MDR 第 13 条规定的进口商义务。进口商信息不要求在货物入境清关时就必须标注完成，但必须在产品正式投放市场前补全标注，仅在海关过境环节缺失进口商信息不直接构成违规。</w:t>
      </w:r>
      <w:r>
        <w:rPr>
          <w:rFonts w:hint="eastAsia" w:ascii="Times New Roman" w:hAnsi="Times New Roman"/>
          <w:sz w:val="28"/>
          <w:szCs w:val="28"/>
        </w:rPr>
        <w:t>尽管</w:t>
      </w:r>
      <w:r>
        <w:rPr>
          <w:rFonts w:ascii="Times New Roman" w:hAnsi="Times New Roman"/>
          <w:sz w:val="28"/>
          <w:szCs w:val="28"/>
        </w:rPr>
        <w:t>进口商信息并非海关放行的绝对前置条件，但多数主流港口会抽查标注情况，</w:t>
      </w:r>
      <w:r>
        <w:rPr>
          <w:rFonts w:hint="eastAsia" w:ascii="Times New Roman" w:hAnsi="Times New Roman"/>
          <w:sz w:val="28"/>
          <w:szCs w:val="28"/>
        </w:rPr>
        <w:t>故</w:t>
      </w:r>
      <w:r>
        <w:rPr>
          <w:rFonts w:ascii="Times New Roman" w:hAnsi="Times New Roman"/>
          <w:sz w:val="28"/>
          <w:szCs w:val="28"/>
        </w:rPr>
        <w:t>提前确定进口商能大幅降低清关障碍与合规风险。</w:t>
      </w:r>
      <w:r>
        <w:rPr>
          <w:rFonts w:hint="eastAsia" w:ascii="Times New Roman" w:hAnsi="Times New Roman"/>
          <w:sz w:val="28"/>
          <w:szCs w:val="28"/>
        </w:rPr>
        <w:t>进口商应当按</w:t>
      </w:r>
      <w:r>
        <w:rPr>
          <w:rFonts w:ascii="Times New Roman" w:hAnsi="Times New Roman"/>
          <w:sz w:val="28"/>
          <w:szCs w:val="28"/>
        </w:rPr>
        <w:t>MDR第13条</w:t>
      </w:r>
      <w:r>
        <w:rPr>
          <w:rFonts w:hint="eastAsia" w:ascii="Times New Roman" w:hAnsi="Times New Roman"/>
          <w:sz w:val="28"/>
          <w:szCs w:val="28"/>
        </w:rPr>
        <w:t>承担相应法定义务，如投放市场前核实器械的CE标志及相关信息；确认非欧盟制造商已经指定欧盟授权代表；确认器械已在EUDAMED中注册；在器械、包装或随附文件中标注进口商名称及可联系地址；保证储存和运输条件不会损害器械的合规性；保存欧盟符合性声明及相关证书；建立投诉、不合格器械、召回和撤市记录；将疑似不良事件或其他安全信息转交制造商和欧盟授权代表；配合主管机构并提供所需资料等。</w:t>
      </w:r>
      <w:r>
        <w:rPr>
          <w:rFonts w:ascii="Times New Roman" w:hAnsi="Times New Roman"/>
          <w:sz w:val="28"/>
          <w:szCs w:val="28"/>
        </w:rPr>
        <w:t xml:space="preserve">在实操中，授权代表与进口商可以分属不同的欧盟成员国，二者的属地选择不影响 CE </w:t>
      </w:r>
      <w:r>
        <w:rPr>
          <w:rFonts w:hint="eastAsia" w:ascii="Times New Roman" w:hAnsi="Times New Roman"/>
          <w:sz w:val="28"/>
          <w:szCs w:val="28"/>
        </w:rPr>
        <w:t>标志</w:t>
      </w:r>
      <w:r>
        <w:rPr>
          <w:rFonts w:ascii="Times New Roman" w:hAnsi="Times New Roman"/>
          <w:sz w:val="28"/>
          <w:szCs w:val="28"/>
        </w:rPr>
        <w:t>的法律效力与产品的全欧流通资格，但会影响后续</w:t>
      </w:r>
      <w:r>
        <w:rPr>
          <w:rFonts w:hint="eastAsia" w:ascii="Times New Roman" w:hAnsi="Times New Roman"/>
          <w:sz w:val="28"/>
          <w:szCs w:val="28"/>
        </w:rPr>
        <w:t>业务</w:t>
      </w:r>
      <w:r>
        <w:rPr>
          <w:rFonts w:ascii="Times New Roman" w:hAnsi="Times New Roman"/>
          <w:sz w:val="28"/>
          <w:szCs w:val="28"/>
        </w:rPr>
        <w:t>运营的沟通成本、监管对接效率与物流便利度。</w:t>
      </w:r>
    </w:p>
    <w:p w14:paraId="78C0A6D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欧盟制定有《联盟海关法典》（Union Customs Code， Regulation (EU) No 952/2013，简称“UCC”），在法律层面上统一了各成员国的海关执法依据和程序，在欧盟范围内实现了海关申报、查验、放行等环节的基本程序一致。</w:t>
      </w:r>
      <w:r>
        <w:rPr>
          <w:rFonts w:ascii="Times New Roman" w:hAnsi="Times New Roman"/>
          <w:sz w:val="28"/>
          <w:szCs w:val="28"/>
        </w:rPr>
        <w:t>原则上货物从第三国进入欧盟时，在首个入境口岸的海关办理进口申报与清关手续，关税税率、核心申报要求在所有成员国完全一致。</w:t>
      </w:r>
    </w:p>
    <w:p w14:paraId="616332BA">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规则统一并不意味着所有口岸的</w:t>
      </w:r>
      <w:r>
        <w:rPr>
          <w:rFonts w:hint="eastAsia" w:ascii="Times New Roman" w:hAnsi="Times New Roman"/>
          <w:sz w:val="28"/>
          <w:szCs w:val="28"/>
        </w:rPr>
        <w:t>清关</w:t>
      </w:r>
      <w:r>
        <w:rPr>
          <w:rFonts w:ascii="Times New Roman" w:hAnsi="Times New Roman"/>
          <w:sz w:val="28"/>
          <w:szCs w:val="28"/>
        </w:rPr>
        <w:t>体验完全一致，差异主要来自执行力度、查验效率与专项监管尺度</w:t>
      </w:r>
      <w:r>
        <w:rPr>
          <w:rFonts w:hint="eastAsia" w:ascii="Times New Roman" w:hAnsi="Times New Roman"/>
          <w:sz w:val="28"/>
          <w:szCs w:val="28"/>
        </w:rPr>
        <w:t>。例如，</w:t>
      </w:r>
      <w:r>
        <w:rPr>
          <w:rFonts w:ascii="Times New Roman" w:hAnsi="Times New Roman"/>
          <w:sz w:val="28"/>
          <w:szCs w:val="28"/>
        </w:rPr>
        <w:t>荷兰鹿特丹、比利时安特卫普作为欧洲最大的集装箱枢纽港，医疗器械进口量大、流程成熟标准化，清关效率最高，查验以风险为导向，常规合规货物的抽查比例相对稳定；德国汉堡、北欧各港口的海关查验更为严谨，对文件完整性、产品标识的核查更细致，通关周期略长；南欧部分港口的规则执行相对灵活，但效率波动较大，特殊品类的查验经验相对不足。其次是医疗器械专项合规查验的差异。口岸的医疗器械合规抽查通常由各成员国主管</w:t>
      </w:r>
      <w:r>
        <w:rPr>
          <w:rFonts w:hint="eastAsia" w:ascii="Times New Roman" w:hAnsi="Times New Roman"/>
          <w:sz w:val="28"/>
          <w:szCs w:val="28"/>
        </w:rPr>
        <w:t>机关</w:t>
      </w:r>
      <w:r>
        <w:rPr>
          <w:rFonts w:ascii="Times New Roman" w:hAnsi="Times New Roman"/>
          <w:sz w:val="28"/>
          <w:szCs w:val="28"/>
        </w:rPr>
        <w:t>（CA）执行，而非海关本身，各国 CA 的监管资源与严格程度直接决定口岸查验力度。比如</w:t>
      </w:r>
      <w:r>
        <w:rPr>
          <w:rFonts w:hint="eastAsia" w:ascii="Times New Roman" w:hAnsi="Times New Roman"/>
          <w:sz w:val="28"/>
          <w:szCs w:val="28"/>
        </w:rPr>
        <w:t>，</w:t>
      </w:r>
      <w:r>
        <w:rPr>
          <w:rFonts w:ascii="Times New Roman" w:hAnsi="Times New Roman"/>
          <w:sz w:val="28"/>
          <w:szCs w:val="28"/>
        </w:rPr>
        <w:t>德国联邦药品和医疗器械研究所（BfArM）在入境口岸的抽查比例更高，会重点核验技术文档、UDI 注册状态、标签语言等细节；荷兰主管部门的查验则更侧重核心合规要素，流程透明高效。这类差异是各国执法尺度的不同，并非设置了额外的准入门槛，产品的合规判定标准仍以 MDR 统一要求为准。在实务中，建议</w:t>
      </w:r>
      <w:r>
        <w:rPr>
          <w:rFonts w:hint="eastAsia" w:ascii="Times New Roman" w:hAnsi="Times New Roman"/>
          <w:sz w:val="28"/>
          <w:szCs w:val="28"/>
        </w:rPr>
        <w:t>中国制造商</w:t>
      </w:r>
      <w:r>
        <w:rPr>
          <w:rFonts w:ascii="Times New Roman" w:hAnsi="Times New Roman"/>
          <w:sz w:val="28"/>
          <w:szCs w:val="28"/>
        </w:rPr>
        <w:t>在首次向某一成员国口岸发货前</w:t>
      </w:r>
      <w:r>
        <w:rPr>
          <w:rFonts w:hint="eastAsia" w:ascii="Times New Roman" w:hAnsi="Times New Roman"/>
          <w:sz w:val="28"/>
          <w:szCs w:val="28"/>
        </w:rPr>
        <w:t>，</w:t>
      </w:r>
      <w:r>
        <w:rPr>
          <w:rFonts w:ascii="Times New Roman" w:hAnsi="Times New Roman"/>
          <w:sz w:val="28"/>
          <w:szCs w:val="28"/>
        </w:rPr>
        <w:t>通过当地清关代理或欧盟授权代表核实该口岸对同类产品的具体归类先例和查验要求。</w:t>
      </w:r>
    </w:p>
    <w:p w14:paraId="3EAE7E36">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欧盟医疗器械上市后持续合规</w:t>
      </w:r>
    </w:p>
    <w:p w14:paraId="1C920A50">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MDR 本身未对终端销售对象作出禁止性限制，合规产品完成首次投放后，可在全欧盟范围内自由分销给医疗机构、专业经销商或符合成员国规定的终端用户。非欧盟制造商</w:t>
      </w:r>
      <w:r>
        <w:rPr>
          <w:rFonts w:hint="eastAsia" w:ascii="Times New Roman" w:hAnsi="Times New Roman"/>
          <w:sz w:val="28"/>
          <w:szCs w:val="28"/>
        </w:rPr>
        <w:t>通过进口商完成产品首次投放后，</w:t>
      </w:r>
      <w:r>
        <w:rPr>
          <w:rFonts w:ascii="Times New Roman" w:hAnsi="Times New Roman"/>
          <w:sz w:val="28"/>
          <w:szCs w:val="28"/>
        </w:rPr>
        <w:t>产品即可进入流通环节由分销商</w:t>
      </w:r>
      <w:r>
        <w:rPr>
          <w:rFonts w:hint="eastAsia" w:ascii="Times New Roman" w:hAnsi="Times New Roman"/>
          <w:sz w:val="28"/>
          <w:szCs w:val="28"/>
        </w:rPr>
        <w:t>在欧盟境内</w:t>
      </w:r>
      <w:r>
        <w:rPr>
          <w:rFonts w:ascii="Times New Roman" w:hAnsi="Times New Roman"/>
          <w:sz w:val="28"/>
          <w:szCs w:val="28"/>
        </w:rPr>
        <w:t>开展分销</w:t>
      </w:r>
      <w:r>
        <w:rPr>
          <w:rFonts w:hint="eastAsia" w:ascii="Times New Roman" w:hAnsi="Times New Roman"/>
          <w:sz w:val="28"/>
          <w:szCs w:val="28"/>
        </w:rPr>
        <w:t>。</w:t>
      </w:r>
      <w:r>
        <w:rPr>
          <w:rFonts w:ascii="Times New Roman" w:hAnsi="Times New Roman"/>
          <w:sz w:val="28"/>
          <w:szCs w:val="28"/>
        </w:rPr>
        <w:t>分销商在流通环节承担独立的法定合规义务，依据为 MDR 第 14 条</w:t>
      </w:r>
      <w:r>
        <w:rPr>
          <w:rFonts w:hint="eastAsia" w:ascii="Times New Roman" w:hAnsi="Times New Roman"/>
          <w:sz w:val="28"/>
          <w:szCs w:val="28"/>
        </w:rPr>
        <w:t>。</w:t>
      </w:r>
      <w:r>
        <w:rPr>
          <w:rFonts w:ascii="Times New Roman" w:hAnsi="Times New Roman"/>
          <w:sz w:val="28"/>
          <w:szCs w:val="28"/>
        </w:rPr>
        <w:t>分销商需通过抽样核验产品 CE 标志、欧盟符合性声明、标签说明书、唯一器械标识（UDI）编码及进口商信息的合规性，确保储运条件符合制造商要求；发现产品存在缺陷或安全风险时立即通知制造商、进口商，涉嫌严重风险时还需通报自身注册地的主管</w:t>
      </w:r>
      <w:r>
        <w:rPr>
          <w:rFonts w:hint="eastAsia" w:ascii="Times New Roman" w:hAnsi="Times New Roman"/>
          <w:sz w:val="28"/>
          <w:szCs w:val="28"/>
        </w:rPr>
        <w:t>机关</w:t>
      </w:r>
      <w:r>
        <w:rPr>
          <w:rFonts w:ascii="Times New Roman" w:hAnsi="Times New Roman"/>
          <w:sz w:val="28"/>
          <w:szCs w:val="28"/>
        </w:rPr>
        <w:t>。制造商承担产品全生命周期的首要责任，若不合规源于产品设计、生产等根源性问题，制造商承担最终责任，若问题出在流通环节的储运、核验失职，则由对应流通主体承担责任。</w:t>
      </w:r>
    </w:p>
    <w:p w14:paraId="2C89E603">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依据 MDR 第 83 条至第 86 条及附件 III，上市后监督（Post-Market Surveillance，PMS）是所有类别医疗器械制造商的强制义务，具体要求与产品风险等级直接挂钩，呈现阶梯式提升的特征。I 类医疗器械仅需建立并实施 PMS 体系、编制 PMS 计划，主动收集产品安全与性能信息，无需主动提交定期安全更新报告（Periodic Safety Update Report，PSUR），相关结果仅需留存于技术文档中，应主管机关要求时提供即可。IIa 类医疗器械在 PMS 体系基础上，需至少每 2 年编制并更新一次 PSUR，总结上市后安全数据、受益风险比评估、纠正措施有效性及上市后临床随访（Post-Market Clinical Follow-up，PMCF）主要发现，报告留存于技术文档，应监管要求提交。IIb 类与 III 类医疗器械的要求显著提升，依据第 86 条第 2 款，两类器械均需至少每年更新一次 PSUR，且 IIb 类植入器械与 III 类器械的 PSUR 还需提交给对应公告机构进行审核并出具意见。与此同时，所有类别器械均需依据 MDR 第 61 条及附件 XIV 开展持续临床评价，PMCF 作为持续临床评价的上市后核心载体，风险等级越高，对数据采集的系统性、前瞻性要求越高，III 类高风险植入器械通常需主动开展上市后临床研究以持续验证受益风险比。</w:t>
      </w:r>
      <w:r>
        <w:rPr>
          <w:rFonts w:ascii="Times New Roman" w:hAnsi="Times New Roman"/>
          <w:sz w:val="28"/>
          <w:szCs w:val="28"/>
        </w:rPr>
        <w:t>警戒制度方面，依据 MDR 第 87 条至第 90 条，所有制造商需建立上市后警戒体系，按事件严重程度执行分级时限报告</w:t>
      </w:r>
      <w:r>
        <w:rPr>
          <w:rFonts w:hint="eastAsia" w:ascii="Times New Roman" w:hAnsi="Times New Roman"/>
          <w:sz w:val="28"/>
          <w:szCs w:val="28"/>
        </w:rPr>
        <w:t>。</w:t>
      </w:r>
      <w:r>
        <w:rPr>
          <w:rFonts w:ascii="Times New Roman" w:hAnsi="Times New Roman"/>
          <w:sz w:val="28"/>
          <w:szCs w:val="28"/>
        </w:rPr>
        <w:t>对于非欧盟制造商，报告需同时提交至事件发生国的主管</w:t>
      </w:r>
      <w:r>
        <w:rPr>
          <w:rFonts w:hint="eastAsia" w:ascii="Times New Roman" w:hAnsi="Times New Roman"/>
          <w:sz w:val="28"/>
          <w:szCs w:val="28"/>
        </w:rPr>
        <w:t>机关</w:t>
      </w:r>
      <w:r>
        <w:rPr>
          <w:rFonts w:ascii="Times New Roman" w:hAnsi="Times New Roman"/>
          <w:sz w:val="28"/>
          <w:szCs w:val="28"/>
        </w:rPr>
        <w:t>与授权代表注册国的主管</w:t>
      </w:r>
      <w:r>
        <w:rPr>
          <w:rFonts w:hint="eastAsia" w:ascii="Times New Roman" w:hAnsi="Times New Roman"/>
          <w:sz w:val="28"/>
          <w:szCs w:val="28"/>
        </w:rPr>
        <w:t>机关</w:t>
      </w:r>
      <w:r>
        <w:rPr>
          <w:rFonts w:ascii="Times New Roman" w:hAnsi="Times New Roman"/>
          <w:sz w:val="28"/>
          <w:szCs w:val="28"/>
        </w:rPr>
        <w:t>，由后者作为协调主管</w:t>
      </w:r>
      <w:r>
        <w:rPr>
          <w:rFonts w:hint="eastAsia" w:ascii="Times New Roman" w:hAnsi="Times New Roman"/>
          <w:sz w:val="28"/>
          <w:szCs w:val="28"/>
        </w:rPr>
        <w:t>机关</w:t>
      </w:r>
      <w:r>
        <w:rPr>
          <w:rFonts w:ascii="Times New Roman" w:hAnsi="Times New Roman"/>
          <w:sz w:val="28"/>
          <w:szCs w:val="28"/>
        </w:rPr>
        <w:t>负责跨成员国的事件评估与信息同步。</w:t>
      </w:r>
    </w:p>
    <w:p w14:paraId="166456BC">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由于目前EUDAMED</w:t>
      </w:r>
      <w:r>
        <w:rPr>
          <w:rFonts w:ascii="Times New Roman" w:hAnsi="Times New Roman"/>
          <w:sz w:val="28"/>
          <w:szCs w:val="28"/>
        </w:rPr>
        <w:t>警戒与上市后监督模块尚未完成功能验证，暂未纳入强制范围，因此当前上市后义务的履行仍处于双轨过渡状态。</w:t>
      </w:r>
      <w:r>
        <w:rPr>
          <w:rFonts w:hint="eastAsia" w:ascii="Times New Roman" w:hAnsi="Times New Roman"/>
          <w:sz w:val="28"/>
          <w:szCs w:val="28"/>
        </w:rPr>
        <w:t>现阶段，PMS 体系运行、PSUR 编制与审核仍按传统方式执行：制造商留存相关文档，需提交公告机构的直接报送对应机构，主管机关通过现场检查、文件调取的方式核查履行情况，暂不通过EUDAMED强制线上提交；警戒事件报告仍沿用成员国属地报告机制，非欧盟制造商通过授权代表向对应主管机关提交书面报告。待后续警戒与上市后监督模块全面强制后，所有严重事件报告、现场安全纠正措施、PSUR 都将统一通过 EUDAMED线上提交，系统自动分发给事件发生国、协调主管机关及对应公告机构，无需制造商多头申报，监管协同与追溯效率将大幅提升。</w:t>
      </w:r>
    </w:p>
    <w:p w14:paraId="04137861">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市场</w:t>
      </w:r>
      <w:r>
        <w:rPr>
          <w:rFonts w:hint="eastAsia" w:ascii="Times New Roman" w:hAnsi="Times New Roman"/>
          <w:sz w:val="28"/>
          <w:szCs w:val="28"/>
        </w:rPr>
        <w:t>监管</w:t>
      </w:r>
      <w:r>
        <w:rPr>
          <w:rFonts w:ascii="Times New Roman" w:hAnsi="Times New Roman"/>
          <w:sz w:val="28"/>
          <w:szCs w:val="28"/>
        </w:rPr>
        <w:t>方面，依据 MDR 第 93 条至第 98 条，各成员国主管</w:t>
      </w:r>
      <w:r>
        <w:rPr>
          <w:rFonts w:hint="eastAsia" w:ascii="Times New Roman" w:hAnsi="Times New Roman"/>
          <w:sz w:val="28"/>
          <w:szCs w:val="28"/>
        </w:rPr>
        <w:t>机关</w:t>
      </w:r>
      <w:r>
        <w:rPr>
          <w:rFonts w:ascii="Times New Roman" w:hAnsi="Times New Roman"/>
          <w:sz w:val="28"/>
          <w:szCs w:val="28"/>
        </w:rPr>
        <w:t>在本国境内享有完整的市场监管权限，可开展市场抽查、抽样检测、文件核查与现场检查，有权采取召回、限制销售、暂停上市等纠正措施；各国主管</w:t>
      </w:r>
      <w:r>
        <w:rPr>
          <w:rFonts w:hint="eastAsia" w:ascii="Times New Roman" w:hAnsi="Times New Roman"/>
          <w:sz w:val="28"/>
          <w:szCs w:val="28"/>
        </w:rPr>
        <w:t>机关</w:t>
      </w:r>
      <w:r>
        <w:rPr>
          <w:rFonts w:ascii="Times New Roman" w:hAnsi="Times New Roman"/>
          <w:sz w:val="28"/>
          <w:szCs w:val="28"/>
        </w:rPr>
        <w:t>通过法定信息共享机制实现全欧联动，一国确认的安全风险会同步通报所有成员国采取对应措施。2026 年 5 月 28 日起，</w:t>
      </w:r>
      <w:r>
        <w:rPr>
          <w:rFonts w:hint="eastAsia" w:ascii="Times New Roman" w:hAnsi="Times New Roman"/>
          <w:sz w:val="28"/>
          <w:szCs w:val="28"/>
        </w:rPr>
        <w:t>EUDAMED</w:t>
      </w:r>
      <w:r>
        <w:rPr>
          <w:rFonts w:ascii="Times New Roman" w:hAnsi="Times New Roman"/>
          <w:sz w:val="28"/>
          <w:szCs w:val="28"/>
        </w:rPr>
        <w:t xml:space="preserve"> 的市场</w:t>
      </w:r>
      <w:r>
        <w:rPr>
          <w:rFonts w:hint="eastAsia" w:ascii="Times New Roman" w:hAnsi="Times New Roman"/>
          <w:sz w:val="28"/>
          <w:szCs w:val="28"/>
        </w:rPr>
        <w:t>监督</w:t>
      </w:r>
      <w:r>
        <w:rPr>
          <w:rFonts w:ascii="Times New Roman" w:hAnsi="Times New Roman"/>
          <w:sz w:val="28"/>
          <w:szCs w:val="28"/>
        </w:rPr>
        <w:t>模块正式强制生效，</w:t>
      </w:r>
      <w:r>
        <w:rPr>
          <w:rFonts w:hint="eastAsia" w:ascii="Times New Roman" w:hAnsi="Times New Roman"/>
          <w:sz w:val="28"/>
          <w:szCs w:val="28"/>
        </w:rPr>
        <w:t>各成员国主管机关将通过EUDAMED录入市场抽查结果、风险措施、召回信息，实现全欧监管信息的实时共享，制造商可通过系统查询自身产品的监管状态。</w:t>
      </w:r>
    </w:p>
    <w:p w14:paraId="472CC46B">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欧盟医疗器械经营合规</w:t>
      </w:r>
    </w:p>
    <w:p w14:paraId="1B781ECE">
      <w:pPr>
        <w:pStyle w:val="26"/>
        <w:numPr>
          <w:ilvl w:val="0"/>
          <w:numId w:val="5"/>
        </w:numPr>
        <w:spacing w:before="120" w:beforeLines="50" w:after="120" w:afterLines="50" w:line="360" w:lineRule="auto"/>
        <w:ind w:left="0"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广告合规</w:t>
      </w:r>
    </w:p>
    <w:p w14:paraId="140D54F7">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欧盟层面的广告合规在MDR中仅有一项概括性禁止</w:t>
      </w:r>
      <w:r>
        <w:rPr>
          <w:rFonts w:hint="eastAsia" w:ascii="Times New Roman" w:hAnsi="Times New Roman"/>
          <w:sz w:val="28"/>
          <w:szCs w:val="28"/>
        </w:rPr>
        <w:t>，即</w:t>
      </w:r>
      <w:r>
        <w:rPr>
          <w:rFonts w:ascii="Times New Roman" w:hAnsi="Times New Roman"/>
          <w:sz w:val="28"/>
          <w:szCs w:val="28"/>
        </w:rPr>
        <w:t>不得对器械的预期用途、安全性和/或性能作出误导性声明。但广告监管并未在欧盟层面统一，欧盟层面没有统一的器械广告审批机构</w:t>
      </w:r>
      <w:r>
        <w:rPr>
          <w:rFonts w:hint="eastAsia" w:ascii="Times New Roman" w:hAnsi="Times New Roman"/>
          <w:sz w:val="28"/>
          <w:szCs w:val="28"/>
        </w:rPr>
        <w:t>，广告监管</w:t>
      </w:r>
      <w:r>
        <w:rPr>
          <w:rFonts w:ascii="Times New Roman" w:hAnsi="Times New Roman"/>
          <w:sz w:val="28"/>
          <w:szCs w:val="28"/>
        </w:rPr>
        <w:t>由各成员国主管机关与消费者保护机构分担执法。欧盟层面的另一项相关规则是《不公平商业行为指令》（Unfair Commercial Practices Directive</w:t>
      </w:r>
      <w:r>
        <w:rPr>
          <w:rFonts w:hint="eastAsia" w:ascii="Times New Roman" w:hAnsi="Times New Roman"/>
          <w:sz w:val="28"/>
          <w:szCs w:val="28"/>
        </w:rPr>
        <w:t>，</w:t>
      </w:r>
      <w:r>
        <w:rPr>
          <w:rFonts w:ascii="Times New Roman" w:hAnsi="Times New Roman"/>
          <w:sz w:val="28"/>
          <w:szCs w:val="28"/>
        </w:rPr>
        <w:t>UCPD 2005/29/EC），从消费者保护角度补强了对误导性与隐蔽性营销的禁止，</w:t>
      </w:r>
      <w:r>
        <w:rPr>
          <w:rFonts w:hint="eastAsia" w:ascii="Times New Roman" w:hAnsi="Times New Roman"/>
          <w:sz w:val="28"/>
          <w:szCs w:val="28"/>
        </w:rPr>
        <w:t>对于社交媒体平台上的隐形广告提供了执法工具</w:t>
      </w:r>
      <w:r>
        <w:rPr>
          <w:rFonts w:ascii="Times New Roman" w:hAnsi="Times New Roman"/>
          <w:sz w:val="28"/>
          <w:szCs w:val="28"/>
        </w:rPr>
        <w:t>。</w:t>
      </w:r>
    </w:p>
    <w:p w14:paraId="6A4287D2">
      <w:pPr>
        <w:pStyle w:val="26"/>
        <w:numPr>
          <w:ilvl w:val="0"/>
          <w:numId w:val="5"/>
        </w:numPr>
        <w:spacing w:before="120" w:beforeLines="50" w:after="120" w:afterLines="50" w:line="360" w:lineRule="auto"/>
        <w:ind w:left="0"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反商业贿赂</w:t>
      </w:r>
    </w:p>
    <w:p w14:paraId="7FF6384F">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欧盟层面没有统一的反商业贿赂刑事法典，但有若干框架性文件</w:t>
      </w:r>
      <w:r>
        <w:rPr>
          <w:rFonts w:hint="eastAsia" w:ascii="Times New Roman" w:hAnsi="Times New Roman"/>
          <w:sz w:val="28"/>
          <w:szCs w:val="28"/>
        </w:rPr>
        <w:t>，如</w:t>
      </w:r>
      <w:r>
        <w:rPr>
          <w:rFonts w:ascii="Times New Roman" w:hAnsi="Times New Roman"/>
          <w:sz w:val="28"/>
          <w:szCs w:val="28"/>
        </w:rPr>
        <w:t>《反腐败刑法公约》（Criminal Law Convention on Corruption</w:t>
      </w:r>
      <w:r>
        <w:rPr>
          <w:rFonts w:hint="eastAsia" w:ascii="Times New Roman" w:hAnsi="Times New Roman"/>
          <w:sz w:val="28"/>
          <w:szCs w:val="28"/>
        </w:rPr>
        <w:t>，</w:t>
      </w:r>
      <w:r>
        <w:rPr>
          <w:rFonts w:ascii="Times New Roman" w:hAnsi="Times New Roman"/>
          <w:sz w:val="28"/>
          <w:szCs w:val="28"/>
        </w:rPr>
        <w:t>ETS 173）</w:t>
      </w:r>
      <w:r>
        <w:rPr>
          <w:rFonts w:hint="eastAsia" w:ascii="Times New Roman" w:hAnsi="Times New Roman"/>
          <w:sz w:val="28"/>
          <w:szCs w:val="28"/>
        </w:rPr>
        <w:t>；</w:t>
      </w:r>
      <w:r>
        <w:rPr>
          <w:rFonts w:ascii="Times New Roman" w:hAnsi="Times New Roman"/>
          <w:sz w:val="28"/>
          <w:szCs w:val="28"/>
        </w:rPr>
        <w:t>欧盟《公共采购指令》（Directive 2014/24/EU）第57条规定行贿、腐败、洗钱、卡特尔为公共采购强制排除事由；欧盟反欺诈局（European Anti-Fraud Office</w:t>
      </w:r>
      <w:r>
        <w:rPr>
          <w:rFonts w:hint="eastAsia" w:ascii="Times New Roman" w:hAnsi="Times New Roman"/>
          <w:sz w:val="28"/>
          <w:szCs w:val="28"/>
        </w:rPr>
        <w:t>，</w:t>
      </w:r>
      <w:r>
        <w:rPr>
          <w:rFonts w:ascii="Times New Roman" w:hAnsi="Times New Roman"/>
          <w:sz w:val="28"/>
          <w:szCs w:val="28"/>
        </w:rPr>
        <w:t>OLAF）负责欧盟预算相关欺诈调查。欧盟层面的相关规则包括《医疗保健专业人员与医疗器械行业互动指南》（由MedTech Europe发布，非法律强制），该指南要求会员企业遵守透明度义务、禁止提供非廉价且与执业无关的礼品或利益。</w:t>
      </w:r>
    </w:p>
    <w:p w14:paraId="15616BF8">
      <w:pPr>
        <w:pStyle w:val="26"/>
        <w:numPr>
          <w:ilvl w:val="0"/>
          <w:numId w:val="5"/>
        </w:numPr>
        <w:spacing w:before="120" w:beforeLines="50" w:after="120" w:afterLines="50" w:line="360" w:lineRule="auto"/>
        <w:ind w:left="0"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数据合规与隐私保护</w:t>
      </w:r>
    </w:p>
    <w:p w14:paraId="6E76CE6D">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欧盟层面的数据合规受《通用数据保护条例》（General Data Protection Regulation</w:t>
      </w:r>
      <w:r>
        <w:rPr>
          <w:rFonts w:hint="eastAsia" w:ascii="Times New Roman" w:hAnsi="Times New Roman"/>
          <w:sz w:val="28"/>
          <w:szCs w:val="28"/>
        </w:rPr>
        <w:t>，</w:t>
      </w:r>
      <w:r>
        <w:rPr>
          <w:rFonts w:ascii="Times New Roman" w:hAnsi="Times New Roman"/>
          <w:sz w:val="28"/>
          <w:szCs w:val="28"/>
        </w:rPr>
        <w:t>(EU) 2016/679</w:t>
      </w:r>
      <w:r>
        <w:rPr>
          <w:rFonts w:hint="eastAsia" w:ascii="Times New Roman" w:hAnsi="Times New Roman"/>
          <w:sz w:val="28"/>
          <w:szCs w:val="28"/>
        </w:rPr>
        <w:t>，简称“GDPR”</w:t>
      </w:r>
      <w:r>
        <w:rPr>
          <w:rFonts w:ascii="Times New Roman" w:hAnsi="Times New Roman"/>
          <w:sz w:val="28"/>
          <w:szCs w:val="28"/>
        </w:rPr>
        <w:t>） 约束</w:t>
      </w:r>
      <w:r>
        <w:rPr>
          <w:rFonts w:hint="eastAsia" w:ascii="Times New Roman" w:hAnsi="Times New Roman"/>
          <w:sz w:val="28"/>
          <w:szCs w:val="28"/>
        </w:rPr>
        <w:t>，</w:t>
      </w:r>
      <w:r>
        <w:rPr>
          <w:rFonts w:ascii="Times New Roman" w:hAnsi="Times New Roman"/>
          <w:sz w:val="28"/>
          <w:szCs w:val="28"/>
        </w:rPr>
        <w:t xml:space="preserve">同时 MDR 第 62 条、第 72 条等条款明确要求，具备数据处理功能的医疗器械需同时符合数据保护法规要求，二者形成并行监管关系。该义务适用于所有具备患者数据采集、存储、传输、分析功能的医疗器械，包括软件医疗器械、连接型设备、影像诊断设备、可穿戴医疗设备等；这类设备处理的个人健康数据属于 GDPR 规定的 </w:t>
      </w:r>
      <w:r>
        <w:rPr>
          <w:rFonts w:hint="eastAsia" w:ascii="Times New Roman" w:hAnsi="Times New Roman"/>
          <w:sz w:val="28"/>
          <w:szCs w:val="28"/>
        </w:rPr>
        <w:t>“</w:t>
      </w:r>
      <w:r>
        <w:rPr>
          <w:rFonts w:ascii="Times New Roman" w:hAnsi="Times New Roman"/>
          <w:sz w:val="28"/>
          <w:szCs w:val="28"/>
        </w:rPr>
        <w:t>特殊类别个人数据</w:t>
      </w:r>
      <w:r>
        <w:rPr>
          <w:rFonts w:hint="eastAsia" w:ascii="Times New Roman" w:hAnsi="Times New Roman"/>
          <w:sz w:val="28"/>
          <w:szCs w:val="28"/>
        </w:rPr>
        <w:t>”</w:t>
      </w:r>
      <w:r>
        <w:rPr>
          <w:rFonts w:ascii="Times New Roman" w:hAnsi="Times New Roman"/>
          <w:sz w:val="28"/>
          <w:szCs w:val="28"/>
        </w:rPr>
        <w:t>，适用比普通个人数据更严格的保护规则。核心合规要求包括明确制造商、医疗机构、经销商之间的数据控制者与处理者责任边界；原则上基于患者明确知情同意处理健康数据，具备法定例外情形的需履行相应合规程序；针对高风险数据处理场景开展数据保护影响评估（DPIA）；采取加密、匿名化、访问控制等技术与组织措施保障数据安全；跨境传输个人健康数据需满足 GDPR 规定的适当传输机制。制造商作为数据控制者或共同控制者承担首要责任，欧盟境内的经销商、医疗机构作为数据处理者需配合履行相关义务</w:t>
      </w:r>
      <w:r>
        <w:rPr>
          <w:rFonts w:hint="eastAsia" w:ascii="Times New Roman" w:hAnsi="Times New Roman"/>
          <w:sz w:val="28"/>
          <w:szCs w:val="28"/>
        </w:rPr>
        <w:t>。</w:t>
      </w:r>
    </w:p>
    <w:p w14:paraId="19B62CA6">
      <w:pPr>
        <w:pStyle w:val="26"/>
        <w:numPr>
          <w:ilvl w:val="0"/>
          <w:numId w:val="5"/>
        </w:numPr>
        <w:spacing w:before="120" w:beforeLines="50" w:after="120" w:afterLines="50" w:line="360" w:lineRule="auto"/>
        <w:ind w:left="0"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禁止强迫劳动产品</w:t>
      </w:r>
    </w:p>
    <w:p w14:paraId="1CFA98EF">
      <w:pPr>
        <w:spacing w:before="120" w:beforeLines="50" w:after="120" w:afterLines="50" w:line="360" w:lineRule="auto"/>
        <w:ind w:firstLine="560" w:firstLineChars="200"/>
        <w:jc w:val="both"/>
        <w:rPr>
          <w:rFonts w:ascii="Times New Roman" w:hAnsi="Times New Roman"/>
          <w:b/>
          <w:bCs/>
          <w:sz w:val="28"/>
          <w:szCs w:val="28"/>
        </w:rPr>
      </w:pPr>
      <w:r>
        <w:rPr>
          <w:rFonts w:ascii="Times New Roman" w:hAnsi="Times New Roman"/>
          <w:sz w:val="28"/>
          <w:szCs w:val="28"/>
        </w:rPr>
        <w:t>欧盟针对强迫劳动产品的专门生效法规为《关于禁止强迫劳动产品投放欧盟市场的法规》（Regulation (EU) 2024/3015</w:t>
      </w:r>
      <w:r>
        <w:rPr>
          <w:rFonts w:hint="eastAsia" w:ascii="Times New Roman" w:hAnsi="Times New Roman"/>
          <w:sz w:val="28"/>
          <w:szCs w:val="28"/>
        </w:rPr>
        <w:t xml:space="preserve"> </w:t>
      </w:r>
      <w:r>
        <w:rPr>
          <w:rFonts w:ascii="Times New Roman" w:hAnsi="Times New Roman"/>
          <w:sz w:val="28"/>
          <w:szCs w:val="28"/>
        </w:rPr>
        <w:t>on prohibiting products made with forced labour on the Union market</w:t>
      </w:r>
      <w:r>
        <w:rPr>
          <w:rFonts w:hint="eastAsia" w:ascii="Times New Roman" w:hAnsi="Times New Roman"/>
          <w:sz w:val="28"/>
          <w:szCs w:val="28"/>
        </w:rPr>
        <w:t>，</w:t>
      </w:r>
      <w:r>
        <w:rPr>
          <w:rFonts w:ascii="Times New Roman" w:hAnsi="Times New Roman"/>
          <w:sz w:val="28"/>
          <w:szCs w:val="28"/>
        </w:rPr>
        <w:t>简称</w:t>
      </w:r>
      <w:r>
        <w:rPr>
          <w:rFonts w:hint="eastAsia" w:ascii="Times New Roman" w:hAnsi="Times New Roman"/>
          <w:sz w:val="28"/>
          <w:szCs w:val="28"/>
        </w:rPr>
        <w:t>“</w:t>
      </w:r>
      <w:r>
        <w:rPr>
          <w:rFonts w:ascii="Times New Roman" w:hAnsi="Times New Roman"/>
          <w:sz w:val="28"/>
          <w:szCs w:val="28"/>
        </w:rPr>
        <w:t>F</w:t>
      </w:r>
      <w:r>
        <w:rPr>
          <w:rFonts w:hint="eastAsia" w:ascii="Times New Roman" w:hAnsi="Times New Roman"/>
          <w:sz w:val="28"/>
          <w:szCs w:val="28"/>
        </w:rPr>
        <w:t>L</w:t>
      </w:r>
      <w:r>
        <w:rPr>
          <w:rFonts w:ascii="Times New Roman" w:hAnsi="Times New Roman"/>
          <w:sz w:val="28"/>
          <w:szCs w:val="28"/>
        </w:rPr>
        <w:t>R</w:t>
      </w:r>
      <w:r>
        <w:rPr>
          <w:rFonts w:hint="eastAsia" w:ascii="Times New Roman" w:hAnsi="Times New Roman"/>
          <w:sz w:val="28"/>
          <w:szCs w:val="28"/>
        </w:rPr>
        <w:t>”</w:t>
      </w:r>
      <w:r>
        <w:rPr>
          <w:rFonts w:ascii="Times New Roman" w:hAnsi="Times New Roman"/>
          <w:sz w:val="28"/>
          <w:szCs w:val="28"/>
        </w:rPr>
        <w:t>）</w:t>
      </w:r>
      <w:r>
        <w:rPr>
          <w:rFonts w:hint="eastAsia"/>
        </w:rPr>
        <w:t xml:space="preserve"> </w:t>
      </w:r>
      <w:r>
        <w:rPr>
          <w:rFonts w:ascii="Times New Roman" w:hAnsi="Times New Roman"/>
          <w:sz w:val="28"/>
          <w:szCs w:val="28"/>
        </w:rPr>
        <w:t>配套实施指南于 2026 年 6 月由欧盟委员会正式发布。该法规适用于所有投放欧盟市场或从欧盟出口的产品，无论产地、品类，医疗器械完全纳入适用范围，覆盖产品整机、零部件及原材料，供应链任何环节涉及强迫劳动的产品均禁止上市。按照法规要求，制造商需建立全链条供应链尽职调查体系，识别、评估、缓解供应链中的强迫劳动风险；针对医疗器械常用的特种金属、聚合物、纺织品部件等高风险原材料，需开展溯源核查并留存完整证明文件；成员国主管</w:t>
      </w:r>
      <w:r>
        <w:rPr>
          <w:rFonts w:hint="eastAsia" w:ascii="Times New Roman" w:hAnsi="Times New Roman"/>
          <w:sz w:val="28"/>
          <w:szCs w:val="28"/>
        </w:rPr>
        <w:t>机关</w:t>
      </w:r>
      <w:r>
        <w:rPr>
          <w:rFonts w:ascii="Times New Roman" w:hAnsi="Times New Roman"/>
          <w:sz w:val="28"/>
          <w:szCs w:val="28"/>
        </w:rPr>
        <w:t>可随时启动调查，要求企业举证产品不涉及强迫劳动，无法举证的产品将被扣押、召回或禁止进入欧盟市场。该法规将于 2027 年 12 月 14 日全面适用，目前处于合规准备期。从责任主体来看，制造商为首要责任主体，欧盟境内的进口商、授权代表承担属地合规连带责任，实践中通常由欧盟境内主体配合完成当地申报与调查应对。</w:t>
      </w:r>
    </w:p>
    <w:p w14:paraId="3D08A1EE">
      <w:pPr>
        <w:pStyle w:val="26"/>
        <w:numPr>
          <w:ilvl w:val="0"/>
          <w:numId w:val="5"/>
        </w:numPr>
        <w:spacing w:before="120" w:beforeLines="50" w:after="120" w:afterLines="50" w:line="360" w:lineRule="auto"/>
        <w:ind w:left="0"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包装与环保义务</w:t>
      </w:r>
    </w:p>
    <w:p w14:paraId="19107F12">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欧盟在包装与废弃物处理领域形成了多层级的生产者责任延伸（Extended Producer Responsibility</w:t>
      </w:r>
      <w:r>
        <w:rPr>
          <w:rFonts w:hint="eastAsia" w:ascii="Times New Roman" w:hAnsi="Times New Roman"/>
          <w:sz w:val="28"/>
          <w:szCs w:val="28"/>
        </w:rPr>
        <w:t>，</w:t>
      </w:r>
      <w:r>
        <w:rPr>
          <w:rFonts w:ascii="Times New Roman" w:hAnsi="Times New Roman"/>
          <w:sz w:val="28"/>
          <w:szCs w:val="28"/>
        </w:rPr>
        <w:t>EPR）规则，医疗器械需根据产品特性</w:t>
      </w:r>
      <w:r>
        <w:rPr>
          <w:rFonts w:hint="eastAsia" w:ascii="Times New Roman" w:hAnsi="Times New Roman"/>
          <w:sz w:val="28"/>
          <w:szCs w:val="28"/>
        </w:rPr>
        <w:t>完成相应合规要求。</w:t>
      </w:r>
      <w:r>
        <w:rPr>
          <w:rFonts w:ascii="Times New Roman" w:hAnsi="Times New Roman"/>
          <w:sz w:val="28"/>
          <w:szCs w:val="28"/>
        </w:rPr>
        <w:t>包装</w:t>
      </w:r>
      <w:r>
        <w:rPr>
          <w:rFonts w:hint="eastAsia" w:ascii="Times New Roman" w:hAnsi="Times New Roman"/>
          <w:sz w:val="28"/>
          <w:szCs w:val="28"/>
        </w:rPr>
        <w:t>合规领域的</w:t>
      </w:r>
      <w:r>
        <w:rPr>
          <w:rFonts w:ascii="Times New Roman" w:hAnsi="Times New Roman"/>
          <w:sz w:val="28"/>
          <w:szCs w:val="28"/>
        </w:rPr>
        <w:t>最新立法为《包装与包装废弃物法规》（Regulation (EU) 2025/40，简称 PPWR），将于 2026 年 8 月 12 日全面实施，替代实施近 30 年的原《包装和包装废弃物指令》（94/62/EC）。该法规要求所有投放欧盟市场的产品包装需满足减量化、可回收性要求，2030 年起包装可回收率需达到法定标准，</w:t>
      </w:r>
      <w:r>
        <w:rPr>
          <w:rFonts w:hint="eastAsia" w:ascii="Times New Roman" w:hAnsi="Times New Roman"/>
          <w:sz w:val="28"/>
          <w:szCs w:val="28"/>
        </w:rPr>
        <w:t>企业</w:t>
      </w:r>
      <w:r>
        <w:rPr>
          <w:rFonts w:ascii="Times New Roman" w:hAnsi="Times New Roman"/>
          <w:sz w:val="28"/>
          <w:szCs w:val="28"/>
        </w:rPr>
        <w:t>按年度申报包装投放量并缴纳回收费用。针对医疗器械有特殊过渡安排</w:t>
      </w:r>
      <w:r>
        <w:rPr>
          <w:rFonts w:hint="eastAsia" w:ascii="Times New Roman" w:hAnsi="Times New Roman"/>
          <w:sz w:val="28"/>
          <w:szCs w:val="28"/>
        </w:rPr>
        <w:t>。</w:t>
      </w:r>
      <w:r>
        <w:rPr>
          <w:rFonts w:ascii="Times New Roman" w:hAnsi="Times New Roman"/>
          <w:sz w:val="28"/>
          <w:szCs w:val="28"/>
        </w:rPr>
        <w:t>接触人体的无菌、敏感医疗器械包装，在 2035 年 1 月前暂豁免部分可回收性能要求，但仍需完成 EPR 注册与申报义务，不存在完全豁免。 依据《废弃电气电子设备指令》（Directive 2012/19/EU，下称 WEEE 指令），具备电气电子功能的医疗器械（如影像设备、透析设备、呼吸机、实验室诊断设备等）需遵守该指令要求，但有源植入式医疗器械、预期报废前具有感染性的一次性医疗器械属于法定豁免范围。合规要求包括生产者承担废弃产品的回收、处理与循环利用责任，在产品投放国完成 WEEE 注册，按规定比例回收废弃产品；产品本体或包装需标注标识，告知消费者不得作为生活垃圾丢弃。 若医疗器械包含电池或蓄电池组件，还需符合《电池与废电池法规》（Regulation (EU) 2023/1542），满足电池有害成分限制、可拆卸设计、回收标识等要求，完成对应 EPR 注册。 以上环保类义务的属地执行层面，非欧盟制造商的注册、申报、缴费义务通常由欧盟进口商或授权代表代为履行，企业可根据产品主要投放市场选择注册属地。</w:t>
      </w:r>
    </w:p>
    <w:p w14:paraId="5577B30D">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贸易壁垒与贸易政策</w:t>
      </w:r>
    </w:p>
    <w:p w14:paraId="556EE7C5">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欧盟对华</w:t>
      </w:r>
      <w:r>
        <w:rPr>
          <w:rFonts w:hint="eastAsia" w:ascii="Times New Roman" w:hAnsi="Times New Roman"/>
          <w:sz w:val="28"/>
          <w:szCs w:val="28"/>
        </w:rPr>
        <w:t>的贸易壁垒</w:t>
      </w:r>
      <w:r>
        <w:rPr>
          <w:rFonts w:ascii="Times New Roman" w:hAnsi="Times New Roman"/>
          <w:sz w:val="28"/>
          <w:szCs w:val="28"/>
        </w:rPr>
        <w:t>不是传统双反</w:t>
      </w:r>
      <w:r>
        <w:rPr>
          <w:rFonts w:hint="eastAsia" w:ascii="Times New Roman" w:hAnsi="Times New Roman"/>
          <w:sz w:val="28"/>
          <w:szCs w:val="28"/>
        </w:rPr>
        <w:t>调查</w:t>
      </w:r>
      <w:r>
        <w:rPr>
          <w:rFonts w:ascii="Times New Roman" w:hAnsi="Times New Roman"/>
          <w:sz w:val="28"/>
          <w:szCs w:val="28"/>
        </w:rPr>
        <w:t>，而是公共采购限制、强迫劳动供应链审查与外国补贴申报三类。2025年6月20日，欧盟委员会依据《国际采购工具》（International Procurement Instrument</w:t>
      </w:r>
      <w:r>
        <w:rPr>
          <w:rFonts w:hint="eastAsia" w:ascii="Times New Roman" w:hAnsi="Times New Roman"/>
          <w:sz w:val="28"/>
          <w:szCs w:val="28"/>
        </w:rPr>
        <w:t>，</w:t>
      </w:r>
      <w:r>
        <w:rPr>
          <w:rFonts w:ascii="Times New Roman" w:hAnsi="Times New Roman"/>
          <w:sz w:val="28"/>
          <w:szCs w:val="28"/>
        </w:rPr>
        <w:t>IPI） 发布第2025/1197号执行条例，自2025年6月30日起禁止中国企业参与超过500万欧元的欧盟医疗器械公共采购项目，并要求中标项目中来自中国的医疗器械比例不得超过50%，限制期限为五年。此外，2026年9月，欧盟委员会进一步提议对《公共采购法案》 进行大幅改革，旨在减少公共招标时对价格的</w:t>
      </w:r>
      <w:r>
        <w:rPr>
          <w:rFonts w:hint="eastAsia" w:ascii="Times New Roman" w:hAnsi="Times New Roman"/>
          <w:sz w:val="28"/>
          <w:szCs w:val="28"/>
        </w:rPr>
        <w:t>“</w:t>
      </w:r>
      <w:r>
        <w:rPr>
          <w:rFonts w:ascii="Times New Roman" w:hAnsi="Times New Roman"/>
          <w:sz w:val="28"/>
          <w:szCs w:val="28"/>
        </w:rPr>
        <w:t>过度关注</w:t>
      </w:r>
      <w:r>
        <w:rPr>
          <w:rFonts w:hint="eastAsia" w:ascii="Times New Roman" w:hAnsi="Times New Roman"/>
          <w:sz w:val="28"/>
          <w:szCs w:val="28"/>
        </w:rPr>
        <w:t>”</w:t>
      </w:r>
      <w:r>
        <w:rPr>
          <w:rFonts w:ascii="Times New Roman" w:hAnsi="Times New Roman"/>
          <w:sz w:val="28"/>
          <w:szCs w:val="28"/>
        </w:rPr>
        <w:t>，并遏制所谓的</w:t>
      </w:r>
      <w:r>
        <w:rPr>
          <w:rFonts w:hint="eastAsia" w:ascii="Times New Roman" w:hAnsi="Times New Roman"/>
          <w:sz w:val="28"/>
          <w:szCs w:val="28"/>
        </w:rPr>
        <w:t>“</w:t>
      </w:r>
      <w:r>
        <w:rPr>
          <w:rFonts w:ascii="Times New Roman" w:hAnsi="Times New Roman"/>
          <w:sz w:val="28"/>
          <w:szCs w:val="28"/>
        </w:rPr>
        <w:t>对第三国供应商的有害战略依赖</w:t>
      </w:r>
      <w:r>
        <w:rPr>
          <w:rFonts w:hint="eastAsia" w:ascii="Times New Roman" w:hAnsi="Times New Roman"/>
          <w:sz w:val="28"/>
          <w:szCs w:val="28"/>
        </w:rPr>
        <w:t>”</w:t>
      </w:r>
      <w:r>
        <w:rPr>
          <w:rFonts w:ascii="Times New Roman" w:hAnsi="Times New Roman"/>
          <w:sz w:val="28"/>
          <w:szCs w:val="28"/>
        </w:rPr>
        <w:t>，制度性排斥趋势仍在加强。</w:t>
      </w:r>
    </w:p>
    <w:p w14:paraId="1ABE62D6">
      <w:pPr>
        <w:pStyle w:val="26"/>
        <w:numPr>
          <w:ilvl w:val="2"/>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德国医疗器械合规专项概述</w:t>
      </w:r>
    </w:p>
    <w:p w14:paraId="2B7E267E">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上市准入环节</w:t>
      </w:r>
    </w:p>
    <w:p w14:paraId="39FD5527">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德国</w:t>
      </w:r>
      <w:r>
        <w:rPr>
          <w:rFonts w:hint="eastAsia" w:ascii="Times New Roman" w:hAnsi="Times New Roman"/>
          <w:sz w:val="28"/>
          <w:szCs w:val="28"/>
        </w:rPr>
        <w:t>医疗器械</w:t>
      </w:r>
      <w:r>
        <w:rPr>
          <w:rFonts w:ascii="Times New Roman" w:hAnsi="Times New Roman"/>
          <w:sz w:val="28"/>
          <w:szCs w:val="28"/>
        </w:rPr>
        <w:t>的主管机关为联邦药品和医疗器械</w:t>
      </w:r>
      <w:r>
        <w:rPr>
          <w:rFonts w:hint="eastAsia" w:ascii="Times New Roman" w:hAnsi="Times New Roman"/>
          <w:sz w:val="28"/>
          <w:szCs w:val="28"/>
        </w:rPr>
        <w:t>研究所</w:t>
      </w:r>
      <w:r>
        <w:rPr>
          <w:rFonts w:ascii="Times New Roman" w:hAnsi="Times New Roman"/>
          <w:sz w:val="28"/>
          <w:szCs w:val="28"/>
        </w:rPr>
        <w:t>（Bundesinstitut für Arzneimittel und Medizinprodukte</w:t>
      </w:r>
      <w:r>
        <w:rPr>
          <w:rFonts w:hint="eastAsia" w:ascii="Times New Roman" w:hAnsi="Times New Roman"/>
          <w:sz w:val="28"/>
          <w:szCs w:val="28"/>
        </w:rPr>
        <w:t>，</w:t>
      </w:r>
      <w:r>
        <w:rPr>
          <w:rFonts w:ascii="Times New Roman" w:hAnsi="Times New Roman"/>
          <w:sz w:val="28"/>
          <w:szCs w:val="28"/>
        </w:rPr>
        <w:t>BfArM）</w:t>
      </w:r>
      <w:r>
        <w:rPr>
          <w:rFonts w:hint="eastAsia" w:ascii="Times New Roman" w:hAnsi="Times New Roman"/>
          <w:sz w:val="28"/>
          <w:szCs w:val="28"/>
        </w:rPr>
        <w:t>，</w:t>
      </w:r>
      <w:r>
        <w:rPr>
          <w:rFonts w:ascii="Times New Roman" w:hAnsi="Times New Roman"/>
          <w:sz w:val="28"/>
          <w:szCs w:val="28"/>
        </w:rPr>
        <w:t>其中公告机构的资质指定与日常监管由下属的州立医疗健康保护中心（Zentralstelle der Länder für Gesundheitsschutz bei Arzneimitteln und Medizinprodukten</w:t>
      </w:r>
      <w:r>
        <w:rPr>
          <w:rFonts w:hint="eastAsia" w:ascii="Times New Roman" w:hAnsi="Times New Roman"/>
          <w:sz w:val="28"/>
          <w:szCs w:val="28"/>
        </w:rPr>
        <w:t>，</w:t>
      </w:r>
      <w:r>
        <w:rPr>
          <w:rFonts w:ascii="Times New Roman" w:hAnsi="Times New Roman"/>
          <w:sz w:val="28"/>
          <w:szCs w:val="28"/>
        </w:rPr>
        <w:t>ZLG）负责。</w:t>
      </w:r>
    </w:p>
    <w:p w14:paraId="6F66DE9F">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德国在公告机构资源方面具有优势，</w:t>
      </w:r>
      <w:r>
        <w:rPr>
          <w:rFonts w:hint="eastAsia" w:ascii="Times New Roman" w:hAnsi="Times New Roman"/>
          <w:sz w:val="28"/>
          <w:szCs w:val="28"/>
        </w:rPr>
        <w:t>德国目前保有的本土公告机构共10家，包括</w:t>
      </w:r>
      <w:r>
        <w:rPr>
          <w:rFonts w:ascii="Times New Roman" w:hAnsi="Times New Roman"/>
          <w:sz w:val="28"/>
          <w:szCs w:val="28"/>
        </w:rPr>
        <w:t>TÜV SÜD（NB 0123）、TÜV Rheinland（NB 0197）、DEKRA（NB 0124）等</w:t>
      </w:r>
      <w:r>
        <w:rPr>
          <w:rFonts w:hint="eastAsia" w:ascii="Times New Roman" w:hAnsi="Times New Roman"/>
          <w:sz w:val="28"/>
          <w:szCs w:val="28"/>
        </w:rPr>
        <w:t>欧盟头部认证机构。德国公告机构的</w:t>
      </w:r>
      <w:r>
        <w:rPr>
          <w:rFonts w:ascii="Times New Roman" w:hAnsi="Times New Roman"/>
          <w:sz w:val="28"/>
          <w:szCs w:val="28"/>
        </w:rPr>
        <w:t>共同特点是审核标准严谨，对技术文档的完整性、临床证据的充分性、质量管理体系的落地程度要求苛刻；工作语言默认德语，面向中国企业的英语服务通常需额外沟通且费用上浮；高风险 IIb/III 类器械的审核周期普遍为 6-12 个月，认证与年度监督费用为全欧第一梯队。</w:t>
      </w:r>
    </w:p>
    <w:p w14:paraId="1071ADF5">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若</w:t>
      </w:r>
      <w:r>
        <w:rPr>
          <w:rFonts w:hint="eastAsia" w:ascii="Times New Roman" w:hAnsi="Times New Roman"/>
          <w:sz w:val="28"/>
          <w:szCs w:val="28"/>
        </w:rPr>
        <w:t>选用注册在德国的</w:t>
      </w:r>
      <w:r>
        <w:rPr>
          <w:rFonts w:ascii="Times New Roman" w:hAnsi="Times New Roman"/>
          <w:sz w:val="28"/>
          <w:szCs w:val="28"/>
        </w:rPr>
        <w:t>授权</w:t>
      </w:r>
      <w:r>
        <w:rPr>
          <w:rFonts w:hint="eastAsia" w:ascii="Times New Roman" w:hAnsi="Times New Roman"/>
          <w:sz w:val="28"/>
          <w:szCs w:val="28"/>
        </w:rPr>
        <w:t>代表</w:t>
      </w:r>
      <w:r>
        <w:rPr>
          <w:rFonts w:ascii="Times New Roman" w:hAnsi="Times New Roman"/>
          <w:sz w:val="28"/>
          <w:szCs w:val="28"/>
        </w:rPr>
        <w:t>，企业的协调主管</w:t>
      </w:r>
      <w:r>
        <w:rPr>
          <w:rFonts w:hint="eastAsia" w:ascii="Times New Roman" w:hAnsi="Times New Roman"/>
          <w:sz w:val="28"/>
          <w:szCs w:val="28"/>
        </w:rPr>
        <w:t>机关</w:t>
      </w:r>
      <w:r>
        <w:rPr>
          <w:rFonts w:ascii="Times New Roman" w:hAnsi="Times New Roman"/>
          <w:sz w:val="28"/>
          <w:szCs w:val="28"/>
        </w:rPr>
        <w:t>即为 BfArM。实操中，经济运营商注册与单一注册号</w:t>
      </w:r>
      <w:r>
        <w:rPr>
          <w:rFonts w:hint="eastAsia" w:ascii="Times New Roman" w:hAnsi="Times New Roman"/>
          <w:sz w:val="28"/>
          <w:szCs w:val="28"/>
        </w:rPr>
        <w:t>（</w:t>
      </w:r>
      <w:r>
        <w:rPr>
          <w:rFonts w:ascii="Times New Roman" w:hAnsi="Times New Roman"/>
          <w:sz w:val="28"/>
          <w:szCs w:val="28"/>
        </w:rPr>
        <w:t>SRN）的审核周期约 2-4 周，所有官方监管沟通默认使用德语，日常合规问询、文件调取频次显著高于其他国家，对企业合规团队的专业能力要求更高。但对于核心市场在德国的高风险植入类、有源器械企业而言，本地</w:t>
      </w:r>
      <w:r>
        <w:rPr>
          <w:rFonts w:hint="eastAsia" w:ascii="Times New Roman" w:hAnsi="Times New Roman"/>
          <w:sz w:val="28"/>
          <w:szCs w:val="28"/>
        </w:rPr>
        <w:t>授权代表</w:t>
      </w:r>
      <w:r>
        <w:rPr>
          <w:rFonts w:ascii="Times New Roman" w:hAnsi="Times New Roman"/>
          <w:sz w:val="28"/>
          <w:szCs w:val="28"/>
        </w:rPr>
        <w:t>可直接对接 BfArM 处理注册、报备、核查事务，沟通效率更高。此外德国设有专门的德国植入物登记处（Deutsches Implantatregister</w:t>
      </w:r>
      <w:r>
        <w:rPr>
          <w:rFonts w:hint="eastAsia" w:ascii="Times New Roman" w:hAnsi="Times New Roman"/>
          <w:sz w:val="28"/>
          <w:szCs w:val="28"/>
        </w:rPr>
        <w:t>，</w:t>
      </w:r>
      <w:r>
        <w:rPr>
          <w:rFonts w:ascii="Times New Roman" w:hAnsi="Times New Roman"/>
          <w:sz w:val="28"/>
          <w:szCs w:val="28"/>
        </w:rPr>
        <w:t>DIR），所有植入类器械上市前必须完成产品登记</w:t>
      </w:r>
      <w:r>
        <w:rPr>
          <w:rFonts w:hint="eastAsia" w:ascii="Times New Roman" w:hAnsi="Times New Roman"/>
          <w:sz w:val="28"/>
          <w:szCs w:val="28"/>
        </w:rPr>
        <w:t>，该事务通常由授权代表代办。</w:t>
      </w:r>
    </w:p>
    <w:p w14:paraId="14E25F4C">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进口清关环节</w:t>
      </w:r>
    </w:p>
    <w:p w14:paraId="3FB94A67">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德国核心进口口岸为汉堡港与不来梅哈芬港，入境查验由德国海关联合 BfArM 共同实施，海关负责基础报关与货证核对，BfArM 负责医疗器械专项合规核验。实操中德国口岸的医疗器械查验率高于欧盟平均水平，对文件格式、标签术语的规范性要求严苛，一旦发现不合规通常直接扣货，整改流程复杂且周期长。德国清关时所有随货合规文件建议配备德语版本，通常委托本地专业货代处理清关事务效率更高。</w:t>
      </w:r>
    </w:p>
    <w:p w14:paraId="6CEC11BB">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经营合规</w:t>
      </w:r>
    </w:p>
    <w:p w14:paraId="73922823">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德国的上市后质量管理在MDR框架下由BfArM上统筹，各州地方监管局负责日常市场抽查与现场核查，是全欧监管力度最大的国家之一。</w:t>
      </w:r>
      <w:r>
        <w:rPr>
          <w:rFonts w:hint="eastAsia" w:ascii="Times New Roman" w:hAnsi="Times New Roman"/>
          <w:sz w:val="28"/>
          <w:szCs w:val="28"/>
        </w:rPr>
        <w:t>德国</w:t>
      </w:r>
      <w:r>
        <w:rPr>
          <w:rFonts w:ascii="Times New Roman" w:hAnsi="Times New Roman"/>
          <w:sz w:val="28"/>
          <w:szCs w:val="28"/>
        </w:rPr>
        <w:t>市场抽查频率高，既会核查流通环节的产品标识、标签合规，也会延伸至制造商的质量管理体系运行、技术文档更新、上市后监督体系有效性、定期安全更新报告编制等环节；对严重不良事件报告的时效性、完整性核查严格，超期报告易触发处罚。若</w:t>
      </w:r>
      <w:r>
        <w:rPr>
          <w:rFonts w:hint="eastAsia" w:ascii="Times New Roman" w:hAnsi="Times New Roman"/>
          <w:sz w:val="28"/>
          <w:szCs w:val="28"/>
        </w:rPr>
        <w:t>授权代表</w:t>
      </w:r>
      <w:r>
        <w:rPr>
          <w:rFonts w:ascii="Times New Roman" w:hAnsi="Times New Roman"/>
          <w:sz w:val="28"/>
          <w:szCs w:val="28"/>
        </w:rPr>
        <w:t>注册在德国，可直接对接 BfArM 处理警戒报告提交、监管问询响应、召回行动协调等事务，流程衔接更顺畅；若</w:t>
      </w:r>
      <w:r>
        <w:rPr>
          <w:rFonts w:hint="eastAsia" w:ascii="Times New Roman" w:hAnsi="Times New Roman"/>
          <w:sz w:val="28"/>
          <w:szCs w:val="28"/>
        </w:rPr>
        <w:t>授权代表</w:t>
      </w:r>
      <w:r>
        <w:rPr>
          <w:rFonts w:ascii="Times New Roman" w:hAnsi="Times New Roman"/>
          <w:sz w:val="28"/>
          <w:szCs w:val="28"/>
        </w:rPr>
        <w:t>注册在其他国家，语言与跨机构协调成本会显著上升。除此之外，植入物临床使用信息需由医疗机构定期上报 DIR；产品供应中断需提前 6 个月通知 BfArM；包装生产者责任延伸依据德国《包装法》（VerpackG）执行，通常由本地进口商或</w:t>
      </w:r>
      <w:r>
        <w:rPr>
          <w:rFonts w:hint="eastAsia" w:ascii="Times New Roman" w:hAnsi="Times New Roman"/>
          <w:sz w:val="28"/>
          <w:szCs w:val="28"/>
        </w:rPr>
        <w:t>授权代表</w:t>
      </w:r>
      <w:r>
        <w:rPr>
          <w:rFonts w:ascii="Times New Roman" w:hAnsi="Times New Roman"/>
          <w:sz w:val="28"/>
          <w:szCs w:val="28"/>
        </w:rPr>
        <w:t>代为注册并缴纳回收费用</w:t>
      </w:r>
      <w:r>
        <w:rPr>
          <w:rFonts w:hint="eastAsia" w:ascii="Times New Roman" w:hAnsi="Times New Roman"/>
          <w:sz w:val="28"/>
          <w:szCs w:val="28"/>
        </w:rPr>
        <w:t>。</w:t>
      </w:r>
    </w:p>
    <w:p w14:paraId="245DD2FF">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广告监管是德国属地合规差异最显著的领域，</w:t>
      </w:r>
      <w:r>
        <w:rPr>
          <w:rFonts w:hint="eastAsia" w:ascii="Times New Roman" w:hAnsi="Times New Roman"/>
          <w:sz w:val="28"/>
          <w:szCs w:val="28"/>
        </w:rPr>
        <w:t>医疗器械广告受</w:t>
      </w:r>
      <w:r>
        <w:rPr>
          <w:rFonts w:ascii="Times New Roman" w:hAnsi="Times New Roman"/>
          <w:sz w:val="28"/>
          <w:szCs w:val="28"/>
        </w:rPr>
        <w:t>德国《医疗广告法》（Gesetz über die Werbung auf dem Gebiete des Heilwesens</w:t>
      </w:r>
      <w:r>
        <w:rPr>
          <w:rFonts w:hint="eastAsia" w:ascii="Times New Roman" w:hAnsi="Times New Roman"/>
          <w:sz w:val="28"/>
          <w:szCs w:val="28"/>
        </w:rPr>
        <w:t>，</w:t>
      </w:r>
      <w:r>
        <w:rPr>
          <w:rFonts w:ascii="Times New Roman" w:hAnsi="Times New Roman"/>
          <w:sz w:val="28"/>
          <w:szCs w:val="28"/>
        </w:rPr>
        <w:t>HWG）约束</w:t>
      </w:r>
      <w:r>
        <w:rPr>
          <w:rFonts w:hint="eastAsia" w:ascii="Times New Roman" w:hAnsi="Times New Roman"/>
          <w:sz w:val="28"/>
          <w:szCs w:val="28"/>
        </w:rPr>
        <w:t>，该法律</w:t>
      </w:r>
      <w:r>
        <w:rPr>
          <w:rFonts w:ascii="Times New Roman" w:hAnsi="Times New Roman"/>
          <w:sz w:val="28"/>
          <w:szCs w:val="28"/>
        </w:rPr>
        <w:t>是欧盟境内唯一针对医疗产品广告单独立法的法律，层级为议会通过的单行法。</w:t>
      </w:r>
      <w:r>
        <w:rPr>
          <w:rFonts w:hint="eastAsia" w:ascii="Times New Roman" w:hAnsi="Times New Roman"/>
          <w:sz w:val="28"/>
          <w:szCs w:val="28"/>
        </w:rPr>
        <w:t>医疗器械广告合规要求主要包括：</w:t>
      </w:r>
      <w:r>
        <w:rPr>
          <w:rFonts w:ascii="Times New Roman" w:hAnsi="Times New Roman"/>
          <w:sz w:val="28"/>
          <w:szCs w:val="28"/>
        </w:rPr>
        <w:t>禁止暗示不使用该器械会损害健康、或使用后健康会改善</w:t>
      </w:r>
      <w:r>
        <w:rPr>
          <w:rFonts w:hint="eastAsia" w:ascii="Times New Roman" w:hAnsi="Times New Roman"/>
          <w:sz w:val="28"/>
          <w:szCs w:val="28"/>
        </w:rPr>
        <w:t>；禁止</w:t>
      </w:r>
      <w:r>
        <w:rPr>
          <w:rFonts w:ascii="Times New Roman" w:hAnsi="Times New Roman"/>
          <w:sz w:val="28"/>
          <w:szCs w:val="28"/>
        </w:rPr>
        <w:t>​</w:t>
      </w:r>
      <w:r>
        <w:rPr>
          <w:rFonts w:hint="eastAsia" w:ascii="Times New Roman" w:hAnsi="Times New Roman"/>
          <w:sz w:val="28"/>
          <w:szCs w:val="28"/>
        </w:rPr>
        <w:t>与兜售或收集联系方式挂钩的宣讲；禁止</w:t>
      </w:r>
      <w:r>
        <w:rPr>
          <w:rFonts w:ascii="Times New Roman" w:hAnsi="Times New Roman"/>
          <w:sz w:val="28"/>
          <w:szCs w:val="28"/>
        </w:rPr>
        <w:t>广告目的不明确或不易识别的发布</w:t>
      </w:r>
      <w:r>
        <w:rPr>
          <w:rFonts w:hint="eastAsia" w:ascii="Times New Roman" w:hAnsi="Times New Roman"/>
          <w:sz w:val="28"/>
          <w:szCs w:val="28"/>
        </w:rPr>
        <w:t>；禁止</w:t>
      </w:r>
      <w:r>
        <w:rPr>
          <w:rFonts w:ascii="Times New Roman" w:hAnsi="Times New Roman"/>
          <w:sz w:val="28"/>
          <w:szCs w:val="28"/>
        </w:rPr>
        <w:t>第三方表态</w:t>
      </w:r>
      <w:r>
        <w:rPr>
          <w:rFonts w:hint="eastAsia" w:ascii="Times New Roman" w:hAnsi="Times New Roman"/>
          <w:sz w:val="28"/>
          <w:szCs w:val="28"/>
        </w:rPr>
        <w:t>，如</w:t>
      </w:r>
      <w:r>
        <w:rPr>
          <w:rFonts w:ascii="Times New Roman" w:hAnsi="Times New Roman"/>
          <w:sz w:val="28"/>
          <w:szCs w:val="28"/>
        </w:rPr>
        <w:t>感谢信、表彰信、推荐信及其引用</w:t>
      </w:r>
      <w:r>
        <w:rPr>
          <w:rFonts w:hint="eastAsia" w:ascii="Times New Roman" w:hAnsi="Times New Roman"/>
          <w:sz w:val="28"/>
          <w:szCs w:val="28"/>
        </w:rPr>
        <w:t>；禁止</w:t>
      </w:r>
      <w:r>
        <w:rPr>
          <w:rFonts w:ascii="Times New Roman" w:hAnsi="Times New Roman"/>
          <w:sz w:val="28"/>
          <w:szCs w:val="28"/>
        </w:rPr>
        <w:t>全部或主要针对 14 岁以下儿童的广告等。</w:t>
      </w:r>
      <w:r>
        <w:rPr>
          <w:rFonts w:hint="eastAsia" w:ascii="Times New Roman" w:hAnsi="Times New Roman"/>
          <w:sz w:val="28"/>
          <w:szCs w:val="28"/>
        </w:rPr>
        <w:t>如</w:t>
      </w:r>
      <w:r>
        <w:rPr>
          <w:rFonts w:ascii="Times New Roman" w:hAnsi="Times New Roman"/>
          <w:sz w:val="28"/>
          <w:szCs w:val="28"/>
        </w:rPr>
        <w:t>广告涉及无医学必要整形手术，还额外禁止术前术后对比图</w:t>
      </w:r>
      <w:r>
        <w:rPr>
          <w:rFonts w:hint="eastAsia" w:ascii="Times New Roman" w:hAnsi="Times New Roman"/>
          <w:sz w:val="28"/>
          <w:szCs w:val="28"/>
        </w:rPr>
        <w:t>，医美类医疗器械厂家须额外关注。涉及特定疾病治疗的医疗器械禁止广告。</w:t>
      </w:r>
      <w:r>
        <w:rPr>
          <w:rFonts w:ascii="Times New Roman" w:hAnsi="Times New Roman"/>
          <w:sz w:val="28"/>
          <w:szCs w:val="28"/>
        </w:rPr>
        <w:t>实践中</w:t>
      </w:r>
      <w:r>
        <w:rPr>
          <w:rFonts w:hint="eastAsia" w:ascii="Times New Roman" w:hAnsi="Times New Roman"/>
          <w:sz w:val="28"/>
          <w:szCs w:val="28"/>
        </w:rPr>
        <w:t>，</w:t>
      </w:r>
      <w:r>
        <w:rPr>
          <w:rFonts w:ascii="Times New Roman" w:hAnsi="Times New Roman"/>
          <w:sz w:val="28"/>
          <w:szCs w:val="28"/>
        </w:rPr>
        <w:t>高风险植入、有源器械极少面向公众投放广告，并非源于法条直接禁止，而是因为这类产品面向公众推广极易触发 HWG</w:t>
      </w:r>
      <w:r>
        <w:rPr>
          <w:rFonts w:hint="eastAsia" w:ascii="Times New Roman" w:hAnsi="Times New Roman"/>
          <w:sz w:val="28"/>
          <w:szCs w:val="28"/>
        </w:rPr>
        <w:t>对于“</w:t>
      </w:r>
      <w:r>
        <w:rPr>
          <w:rFonts w:ascii="Times New Roman" w:hAnsi="Times New Roman"/>
          <w:sz w:val="28"/>
          <w:szCs w:val="28"/>
        </w:rPr>
        <w:t>误导性广告</w:t>
      </w:r>
      <w:r>
        <w:rPr>
          <w:rFonts w:hint="eastAsia" w:ascii="Times New Roman" w:hAnsi="Times New Roman"/>
          <w:sz w:val="28"/>
          <w:szCs w:val="28"/>
        </w:rPr>
        <w:t>”</w:t>
      </w:r>
      <w:r>
        <w:rPr>
          <w:rFonts w:ascii="Times New Roman" w:hAnsi="Times New Roman"/>
          <w:sz w:val="28"/>
          <w:szCs w:val="28"/>
        </w:rPr>
        <w:t>的认定，BfArM 对此类投诉的核查率与处罚率极高，企业主动规避了该类宣传。</w:t>
      </w:r>
      <w:r>
        <w:rPr>
          <w:rFonts w:hint="eastAsia" w:ascii="Times New Roman" w:hAnsi="Times New Roman"/>
          <w:sz w:val="28"/>
          <w:szCs w:val="28"/>
        </w:rPr>
        <w:t>此外，广告合规同时受</w:t>
      </w:r>
      <w:r>
        <w:rPr>
          <w:rFonts w:ascii="Times New Roman" w:hAnsi="Times New Roman"/>
          <w:sz w:val="28"/>
          <w:szCs w:val="28"/>
        </w:rPr>
        <w:t>《反不正当竞争法》（Gesetz gegen den unlauteren Wettbewerb</w:t>
      </w:r>
      <w:r>
        <w:rPr>
          <w:rFonts w:hint="eastAsia" w:ascii="Times New Roman" w:hAnsi="Times New Roman"/>
          <w:sz w:val="28"/>
          <w:szCs w:val="28"/>
        </w:rPr>
        <w:t>，</w:t>
      </w:r>
      <w:r>
        <w:rPr>
          <w:rFonts w:ascii="Times New Roman" w:hAnsi="Times New Roman"/>
          <w:sz w:val="28"/>
          <w:szCs w:val="28"/>
        </w:rPr>
        <w:t>UWG）</w:t>
      </w:r>
      <w:r>
        <w:rPr>
          <w:rFonts w:hint="eastAsia" w:ascii="Times New Roman" w:hAnsi="Times New Roman"/>
          <w:sz w:val="28"/>
          <w:szCs w:val="28"/>
        </w:rPr>
        <w:t>调整，</w:t>
      </w:r>
      <w:r>
        <w:rPr>
          <w:rFonts w:ascii="Times New Roman" w:hAnsi="Times New Roman"/>
          <w:sz w:val="28"/>
          <w:szCs w:val="28"/>
        </w:rPr>
        <w:t>UWG 提供了 HWG 所没有的、由私人主体（竞争对手、消费者团体）直接发动的禁令与赔偿请求权</w:t>
      </w:r>
      <w:r>
        <w:rPr>
          <w:rFonts w:hint="eastAsia" w:ascii="Times New Roman" w:hAnsi="Times New Roman"/>
          <w:sz w:val="28"/>
          <w:szCs w:val="28"/>
        </w:rPr>
        <w:t>。德国的广告</w:t>
      </w:r>
      <w:r>
        <w:rPr>
          <w:rFonts w:ascii="Times New Roman" w:hAnsi="Times New Roman"/>
          <w:sz w:val="28"/>
          <w:szCs w:val="28"/>
        </w:rPr>
        <w:t>执法机构为各州媒体管理局（Landesmedienanstalten）与竞争总局（Wettbewerbszentrale）。</w:t>
      </w:r>
    </w:p>
    <w:p w14:paraId="1F3A798C">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德国的HCP交流及反腐受《刑法典》（Strafgesetzbuch, StGB） 约束。StGB第299a条和第299b条分别规定了医务人员受贿罪和对医务人员行贿罪</w:t>
      </w:r>
      <w:r>
        <w:rPr>
          <w:rFonts w:hint="eastAsia" w:ascii="Times New Roman" w:hAnsi="Times New Roman"/>
          <w:sz w:val="28"/>
          <w:szCs w:val="28"/>
        </w:rPr>
        <w:t>，</w:t>
      </w:r>
      <w:r>
        <w:rPr>
          <w:rFonts w:ascii="Times New Roman" w:hAnsi="Times New Roman"/>
          <w:sz w:val="28"/>
          <w:szCs w:val="28"/>
        </w:rPr>
        <w:t>一般情形最高 3 年监禁或罚金；情节特别严重最高 5 年</w:t>
      </w:r>
      <w:r>
        <w:rPr>
          <w:rFonts w:hint="eastAsia" w:ascii="Times New Roman" w:hAnsi="Times New Roman"/>
          <w:sz w:val="28"/>
          <w:szCs w:val="28"/>
        </w:rPr>
        <w:t>监禁</w:t>
      </w:r>
      <w:r>
        <w:rPr>
          <w:rFonts w:ascii="Times New Roman" w:hAnsi="Times New Roman"/>
          <w:sz w:val="28"/>
          <w:szCs w:val="28"/>
        </w:rPr>
        <w:t>。德国的执法机构为各州检察机关</w:t>
      </w:r>
      <w:r>
        <w:rPr>
          <w:rFonts w:hint="eastAsia" w:ascii="Times New Roman" w:hAnsi="Times New Roman"/>
          <w:sz w:val="28"/>
          <w:szCs w:val="28"/>
        </w:rPr>
        <w:t>，</w:t>
      </w:r>
      <w:r>
        <w:rPr>
          <w:rFonts w:ascii="Times New Roman" w:hAnsi="Times New Roman"/>
          <w:sz w:val="28"/>
          <w:szCs w:val="28"/>
        </w:rPr>
        <w:t>金融情报机构（Zentrale Finanzaufklärung</w:t>
      </w:r>
      <w:r>
        <w:rPr>
          <w:rFonts w:hint="eastAsia" w:ascii="Times New Roman" w:hAnsi="Times New Roman"/>
          <w:sz w:val="28"/>
          <w:szCs w:val="28"/>
        </w:rPr>
        <w:t>，</w:t>
      </w:r>
      <w:r>
        <w:rPr>
          <w:rFonts w:ascii="Times New Roman" w:hAnsi="Times New Roman"/>
          <w:sz w:val="28"/>
          <w:szCs w:val="28"/>
        </w:rPr>
        <w:t>FIU/ZOL）负责可疑交易报告。欧盟层面医疗器械行业协会 MedTech Europe 的《商业道德行为准则》及披露指南对成员企业与 HCP/HCO 的合作与价值转移提出披露要求；德国层面由 MedTech Deutschland/BVMed 等协会推动</w:t>
      </w:r>
      <w:r>
        <w:rPr>
          <w:rFonts w:hint="eastAsia" w:ascii="Times New Roman" w:hAnsi="Times New Roman"/>
          <w:sz w:val="28"/>
          <w:szCs w:val="28"/>
        </w:rPr>
        <w:t>，但</w:t>
      </w:r>
      <w:r>
        <w:rPr>
          <w:rFonts w:ascii="Times New Roman" w:hAnsi="Times New Roman"/>
          <w:sz w:val="28"/>
          <w:szCs w:val="28"/>
        </w:rPr>
        <w:t>德国目前无法定强制披露义务</w:t>
      </w:r>
      <w:r>
        <w:rPr>
          <w:rFonts w:hint="eastAsia" w:ascii="Times New Roman" w:hAnsi="Times New Roman"/>
          <w:sz w:val="28"/>
          <w:szCs w:val="28"/>
        </w:rPr>
        <w:t>。</w:t>
      </w:r>
    </w:p>
    <w:p w14:paraId="129CE957">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德国的数据合规受《联邦数据保护法》（Bundesdatenschutzgesetz, BDSG）和GDPR约束。德国的执法机构为各州数据保护监管机构，在联邦层面通过联邦数据保护和信息自由专员（Bundesbeauftragter für den Datenschutz und die Informationsfreiheit</w:t>
      </w:r>
      <w:r>
        <w:rPr>
          <w:rFonts w:hint="eastAsia" w:ascii="Times New Roman" w:hAnsi="Times New Roman"/>
          <w:sz w:val="28"/>
          <w:szCs w:val="28"/>
        </w:rPr>
        <w:t>，</w:t>
      </w:r>
      <w:r>
        <w:rPr>
          <w:rFonts w:ascii="Times New Roman" w:hAnsi="Times New Roman"/>
          <w:sz w:val="28"/>
          <w:szCs w:val="28"/>
        </w:rPr>
        <w:t>BfDI） 协调。德国对患者数据跨境传输要求严格，临床数据与远程医疗数据向中国传输除SCC与TIA外，常被要求补充技术保障措施</w:t>
      </w:r>
      <w:r>
        <w:rPr>
          <w:rFonts w:hint="eastAsia" w:ascii="Times New Roman" w:hAnsi="Times New Roman"/>
          <w:sz w:val="28"/>
          <w:szCs w:val="28"/>
        </w:rPr>
        <w:t>。</w:t>
      </w:r>
    </w:p>
    <w:p w14:paraId="4BD7B87A">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医保准入方面，进入德国法定医保报销体系需通过联邦联合委员会（Gemeinsamer Bundesausschuss</w:t>
      </w:r>
      <w:r>
        <w:rPr>
          <w:rFonts w:hint="eastAsia" w:ascii="Times New Roman" w:hAnsi="Times New Roman"/>
          <w:sz w:val="28"/>
          <w:szCs w:val="28"/>
        </w:rPr>
        <w:t>，</w:t>
      </w:r>
      <w:r>
        <w:rPr>
          <w:rFonts w:ascii="Times New Roman" w:hAnsi="Times New Roman"/>
          <w:sz w:val="28"/>
          <w:szCs w:val="28"/>
        </w:rPr>
        <w:t>G-BA）的卫生经济学效益评估，获得诊断相关分组（Diagnosis Related Groups</w:t>
      </w:r>
      <w:r>
        <w:rPr>
          <w:rFonts w:hint="eastAsia" w:ascii="Times New Roman" w:hAnsi="Times New Roman"/>
          <w:sz w:val="28"/>
          <w:szCs w:val="28"/>
        </w:rPr>
        <w:t>，</w:t>
      </w:r>
      <w:r>
        <w:rPr>
          <w:rFonts w:ascii="Times New Roman" w:hAnsi="Times New Roman"/>
          <w:sz w:val="28"/>
          <w:szCs w:val="28"/>
        </w:rPr>
        <w:t>DRG）住院编码或门诊评估方法（Evaluation Methoden</w:t>
      </w:r>
      <w:r>
        <w:rPr>
          <w:rFonts w:hint="eastAsia" w:ascii="Times New Roman" w:hAnsi="Times New Roman"/>
          <w:sz w:val="28"/>
          <w:szCs w:val="28"/>
        </w:rPr>
        <w:t>，</w:t>
      </w:r>
      <w:r>
        <w:rPr>
          <w:rFonts w:ascii="Times New Roman" w:hAnsi="Times New Roman"/>
          <w:sz w:val="28"/>
          <w:szCs w:val="28"/>
        </w:rPr>
        <w:t>EBM）编码，公立医院采购原则上仅覆盖已获编码产品，评估周期通常 1-3 年，需提交大量真实世界临床数据。</w:t>
      </w:r>
    </w:p>
    <w:p w14:paraId="3439313E">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贸易政策等其他需关注的情况</w:t>
      </w:r>
    </w:p>
    <w:p w14:paraId="599D1A87">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德国在欧盟统一贸易政策之外，其国内公共采购规则对医疗器械有额外要求。德国的公共采购受《反限制竞争法》（Gesetz gegen Wettbewerbsbeschränkungen</w:t>
      </w:r>
      <w:r>
        <w:rPr>
          <w:rFonts w:hint="eastAsia" w:ascii="Times New Roman" w:hAnsi="Times New Roman"/>
          <w:sz w:val="28"/>
          <w:szCs w:val="28"/>
        </w:rPr>
        <w:t>，</w:t>
      </w:r>
      <w:r>
        <w:rPr>
          <w:rFonts w:ascii="Times New Roman" w:hAnsi="Times New Roman"/>
          <w:sz w:val="28"/>
          <w:szCs w:val="28"/>
        </w:rPr>
        <w:t>GWB）和《政府采购条例》（Vergabeverordnung</w:t>
      </w:r>
      <w:r>
        <w:rPr>
          <w:rFonts w:hint="eastAsia" w:ascii="Times New Roman" w:hAnsi="Times New Roman"/>
          <w:sz w:val="28"/>
          <w:szCs w:val="28"/>
        </w:rPr>
        <w:t>，</w:t>
      </w:r>
      <w:r>
        <w:rPr>
          <w:rFonts w:ascii="Times New Roman" w:hAnsi="Times New Roman"/>
          <w:sz w:val="28"/>
          <w:szCs w:val="28"/>
        </w:rPr>
        <w:t>VgV）约束。德国在公共采购中倾向于质量优先，但近年来对供应链安全的关注度上升。德国是欧盟IPI限制的积极支持者，德国国内对医疗器械公共采购的本地化倾向在部分州有所体现。</w:t>
      </w:r>
    </w:p>
    <w:p w14:paraId="24BEFEC3">
      <w:pPr>
        <w:pStyle w:val="26"/>
        <w:numPr>
          <w:ilvl w:val="2"/>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荷兰医疗器械合规专项概述</w:t>
      </w:r>
    </w:p>
    <w:p w14:paraId="527B1EB7">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上市准入环节</w:t>
      </w:r>
    </w:p>
    <w:p w14:paraId="7DDAB50E">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荷兰医疗器械主管机关为卫生与青年监察局（Inspectie Gezondheidszorg en Jeugd</w:t>
      </w:r>
      <w:r>
        <w:rPr>
          <w:rFonts w:hint="eastAsia" w:ascii="Times New Roman" w:hAnsi="Times New Roman"/>
          <w:sz w:val="28"/>
          <w:szCs w:val="28"/>
        </w:rPr>
        <w:t>，</w:t>
      </w:r>
      <w:r>
        <w:rPr>
          <w:rFonts w:ascii="Times New Roman" w:hAnsi="Times New Roman"/>
          <w:sz w:val="28"/>
          <w:szCs w:val="28"/>
        </w:rPr>
        <w:t>IGJ），其中经济运营商注册的资质审核由下属的医疗职业中央信息点（Central Information Point for Healthcare Professions</w:t>
      </w:r>
      <w:r>
        <w:rPr>
          <w:rFonts w:hint="eastAsia" w:ascii="Times New Roman" w:hAnsi="Times New Roman"/>
          <w:sz w:val="28"/>
          <w:szCs w:val="28"/>
        </w:rPr>
        <w:t>，</w:t>
      </w:r>
      <w:r>
        <w:rPr>
          <w:rFonts w:ascii="Times New Roman" w:hAnsi="Times New Roman"/>
          <w:sz w:val="28"/>
          <w:szCs w:val="28"/>
        </w:rPr>
        <w:t>CIBG）负责。</w:t>
      </w:r>
    </w:p>
    <w:p w14:paraId="0CCFB32B">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荷兰的</w:t>
      </w:r>
      <w:r>
        <w:rPr>
          <w:rFonts w:hint="eastAsia" w:ascii="Times New Roman" w:hAnsi="Times New Roman"/>
          <w:sz w:val="28"/>
          <w:szCs w:val="28"/>
        </w:rPr>
        <w:t>本土</w:t>
      </w:r>
      <w:r>
        <w:rPr>
          <w:rFonts w:ascii="Times New Roman" w:hAnsi="Times New Roman"/>
          <w:sz w:val="28"/>
          <w:szCs w:val="28"/>
        </w:rPr>
        <w:t>公告机构资源相对有限，</w:t>
      </w:r>
      <w:r>
        <w:rPr>
          <w:rFonts w:hint="eastAsia" w:ascii="Times New Roman" w:hAnsi="Times New Roman"/>
          <w:sz w:val="28"/>
          <w:szCs w:val="28"/>
        </w:rPr>
        <w:t>目前仅保有4家，分别为</w:t>
      </w:r>
      <w:r>
        <w:rPr>
          <w:rFonts w:ascii="Times New Roman" w:hAnsi="Times New Roman"/>
          <w:sz w:val="28"/>
          <w:szCs w:val="28"/>
        </w:rPr>
        <w:t>BSI Group The Netherlands B.V.（NB 2797）</w:t>
      </w:r>
      <w:r>
        <w:rPr>
          <w:rFonts w:hint="eastAsia" w:ascii="Times New Roman" w:hAnsi="Times New Roman"/>
          <w:sz w:val="28"/>
          <w:szCs w:val="28"/>
        </w:rPr>
        <w:t>，</w:t>
      </w:r>
      <w:r>
        <w:rPr>
          <w:rFonts w:ascii="Times New Roman" w:hAnsi="Times New Roman"/>
          <w:sz w:val="28"/>
          <w:szCs w:val="28"/>
        </w:rPr>
        <w:t>DEKRA Certification B.V.</w:t>
      </w:r>
      <w:r>
        <w:rPr>
          <w:rFonts w:hint="eastAsia" w:ascii="Times New Roman" w:hAnsi="Times New Roman"/>
          <w:sz w:val="28"/>
          <w:szCs w:val="28"/>
        </w:rPr>
        <w:t>（NB 0344），</w:t>
      </w:r>
      <w:r>
        <w:rPr>
          <w:rFonts w:ascii="Times New Roman" w:hAnsi="Times New Roman"/>
          <w:sz w:val="28"/>
          <w:szCs w:val="28"/>
        </w:rPr>
        <w:t>Kiwa Dare B.V.（NB 1912）</w:t>
      </w:r>
      <w:r>
        <w:rPr>
          <w:rFonts w:hint="eastAsia" w:ascii="Times New Roman" w:hAnsi="Times New Roman"/>
          <w:sz w:val="28"/>
          <w:szCs w:val="28"/>
        </w:rPr>
        <w:t>，</w:t>
      </w:r>
      <w:r>
        <w:rPr>
          <w:rFonts w:ascii="Times New Roman" w:hAnsi="Times New Roman"/>
          <w:sz w:val="28"/>
          <w:szCs w:val="28"/>
        </w:rPr>
        <w:t>Scarlet NB B.V.（NB 3022）。这类机构普遍支持全英语申报与沟通，审核专业且流程相对灵活，不会过度苛求形式化文件；高风险产品审核周期通常为 4-9 个月，认证费用处于欧盟中等水平。</w:t>
      </w:r>
    </w:p>
    <w:p w14:paraId="0C86AD5D">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若</w:t>
      </w:r>
      <w:r>
        <w:rPr>
          <w:rFonts w:hint="eastAsia" w:ascii="Times New Roman" w:hAnsi="Times New Roman"/>
          <w:sz w:val="28"/>
          <w:szCs w:val="28"/>
        </w:rPr>
        <w:t>选用设立</w:t>
      </w:r>
      <w:r>
        <w:rPr>
          <w:rFonts w:ascii="Times New Roman" w:hAnsi="Times New Roman"/>
          <w:sz w:val="28"/>
          <w:szCs w:val="28"/>
        </w:rPr>
        <w:t>在荷兰</w:t>
      </w:r>
      <w:r>
        <w:rPr>
          <w:rFonts w:hint="eastAsia" w:ascii="Times New Roman" w:hAnsi="Times New Roman"/>
          <w:sz w:val="28"/>
          <w:szCs w:val="28"/>
        </w:rPr>
        <w:t>的授权代表</w:t>
      </w:r>
      <w:r>
        <w:rPr>
          <w:rFonts w:ascii="Times New Roman" w:hAnsi="Times New Roman"/>
          <w:sz w:val="28"/>
          <w:szCs w:val="28"/>
        </w:rPr>
        <w:t>，企业的协调主管</w:t>
      </w:r>
      <w:r>
        <w:rPr>
          <w:rFonts w:hint="eastAsia" w:ascii="Times New Roman" w:hAnsi="Times New Roman"/>
          <w:sz w:val="28"/>
          <w:szCs w:val="28"/>
        </w:rPr>
        <w:t>机关</w:t>
      </w:r>
      <w:r>
        <w:rPr>
          <w:rFonts w:ascii="Times New Roman" w:hAnsi="Times New Roman"/>
          <w:sz w:val="28"/>
          <w:szCs w:val="28"/>
        </w:rPr>
        <w:t>即为 IGJ。实操中</w:t>
      </w:r>
      <w:r>
        <w:rPr>
          <w:rFonts w:hint="eastAsia" w:ascii="Times New Roman" w:hAnsi="Times New Roman"/>
          <w:sz w:val="28"/>
          <w:szCs w:val="28"/>
        </w:rPr>
        <w:t>，荷兰IGJ的</w:t>
      </w:r>
      <w:r>
        <w:rPr>
          <w:rFonts w:ascii="Times New Roman" w:hAnsi="Times New Roman"/>
          <w:sz w:val="28"/>
          <w:szCs w:val="28"/>
        </w:rPr>
        <w:t>SRN 审核速度为全欧最快，材料齐全的情况下 1-2 个工作日即可核发；所有监管沟通可全程使用英语，监管风格透明高效，日常合规问询少，更注重企业合规体系的实际运行效果。</w:t>
      </w:r>
    </w:p>
    <w:p w14:paraId="7CCF78E1">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进口清关环节</w:t>
      </w:r>
    </w:p>
    <w:p w14:paraId="7DD6961A">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鹿特丹港（Port of Rotterdam）是欧洲最大的集装箱枢纽与医疗器械进口集散中心，入境查验由荷兰海关联合 IGJ 实施，采用风险导向的查验模式</w:t>
      </w:r>
      <w:r>
        <w:rPr>
          <w:rFonts w:hint="eastAsia" w:ascii="Times New Roman" w:hAnsi="Times New Roman"/>
          <w:sz w:val="28"/>
          <w:szCs w:val="28"/>
        </w:rPr>
        <w:t>。</w:t>
      </w:r>
      <w:r>
        <w:rPr>
          <w:rFonts w:ascii="Times New Roman" w:hAnsi="Times New Roman"/>
          <w:sz w:val="28"/>
          <w:szCs w:val="28"/>
        </w:rPr>
        <w:t>实操中</w:t>
      </w:r>
      <w:r>
        <w:rPr>
          <w:rFonts w:hint="eastAsia" w:ascii="Times New Roman" w:hAnsi="Times New Roman"/>
          <w:sz w:val="28"/>
          <w:szCs w:val="28"/>
        </w:rPr>
        <w:t>，</w:t>
      </w:r>
      <w:r>
        <w:rPr>
          <w:rFonts w:ascii="Times New Roman" w:hAnsi="Times New Roman"/>
          <w:sz w:val="28"/>
          <w:szCs w:val="28"/>
        </w:rPr>
        <w:t>鹿特丹港的医疗器械清关流程高度成熟标准化，清关效率为全欧最高，常规合规货物的抽查比例稳定，文件瑕疵的整改指引清晰透明，极少出现无理由扣货。大多数面向全欧市场的中国企业都会选择将进口商设立在荷兰，依托鹿特丹的物流枢纽优势建立欧洲配送中心，货物一次清关入境后，即可自由分销至所有欧盟成员国，仅需按目标市场配套对应语言的标签与说明书。荷兰对语言要求相对灵活：面向普通患者的标签、说明书必须使用荷兰语，但仅面向医护专业人员的技术文件可使用英语，这一规则大幅降低了企业的多语言适配成本。</w:t>
      </w:r>
    </w:p>
    <w:p w14:paraId="21F83AA8">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经营合规</w:t>
      </w:r>
    </w:p>
    <w:p w14:paraId="58DB4458">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荷兰的</w:t>
      </w:r>
      <w:r>
        <w:rPr>
          <w:rFonts w:hint="eastAsia" w:ascii="Times New Roman" w:hAnsi="Times New Roman"/>
          <w:sz w:val="28"/>
          <w:szCs w:val="28"/>
        </w:rPr>
        <w:t>医疗器械</w:t>
      </w:r>
      <w:r>
        <w:rPr>
          <w:rFonts w:ascii="Times New Roman" w:hAnsi="Times New Roman"/>
          <w:sz w:val="28"/>
          <w:szCs w:val="28"/>
        </w:rPr>
        <w:t>上市后质量管理由IGJ负责执法</w:t>
      </w:r>
      <w:r>
        <w:rPr>
          <w:rFonts w:hint="eastAsia" w:ascii="Times New Roman" w:hAnsi="Times New Roman"/>
          <w:sz w:val="28"/>
          <w:szCs w:val="28"/>
        </w:rPr>
        <w:t>，</w:t>
      </w:r>
      <w:r>
        <w:rPr>
          <w:rFonts w:ascii="Times New Roman" w:hAnsi="Times New Roman"/>
          <w:sz w:val="28"/>
          <w:szCs w:val="28"/>
        </w:rPr>
        <w:t>采用风险导向的监管模式，监管资源重点向高风险植入类、有源器械倾斜，中低风险产品的常规抽查频率低于德国。IGJ 会定期发布监管指南与合规提示，企业对监管要求的预期清晰</w:t>
      </w:r>
      <w:r>
        <w:rPr>
          <w:rFonts w:hint="eastAsia" w:ascii="Times New Roman" w:hAnsi="Times New Roman"/>
          <w:sz w:val="28"/>
          <w:szCs w:val="28"/>
        </w:rPr>
        <w:t>，</w:t>
      </w:r>
      <w:r>
        <w:rPr>
          <w:rFonts w:ascii="Times New Roman" w:hAnsi="Times New Roman"/>
          <w:sz w:val="28"/>
          <w:szCs w:val="28"/>
        </w:rPr>
        <w:t>监管沟通可使用英语，</w:t>
      </w:r>
      <w:r>
        <w:rPr>
          <w:rFonts w:hint="eastAsia" w:ascii="Times New Roman" w:hAnsi="Times New Roman"/>
          <w:sz w:val="28"/>
          <w:szCs w:val="28"/>
        </w:rPr>
        <w:t>语言门槛较低。</w:t>
      </w:r>
    </w:p>
    <w:p w14:paraId="670D045F">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荷兰《医疗器械法》（Wet medische hulpmiddelen</w:t>
      </w:r>
      <w:r>
        <w:rPr>
          <w:rFonts w:hint="eastAsia" w:ascii="Times New Roman" w:hAnsi="Times New Roman"/>
          <w:sz w:val="28"/>
          <w:szCs w:val="28"/>
        </w:rPr>
        <w:t>，</w:t>
      </w:r>
      <w:r>
        <w:rPr>
          <w:rFonts w:ascii="Times New Roman" w:hAnsi="Times New Roman"/>
          <w:sz w:val="28"/>
          <w:szCs w:val="28"/>
        </w:rPr>
        <w:t>Wmh）本身没有专门的广告章节</w:t>
      </w:r>
      <w:r>
        <w:rPr>
          <w:rFonts w:hint="eastAsia" w:ascii="Times New Roman" w:hAnsi="Times New Roman"/>
          <w:sz w:val="28"/>
          <w:szCs w:val="28"/>
        </w:rPr>
        <w:t>，仅规定了原则性要求，</w:t>
      </w:r>
      <w:r>
        <w:rPr>
          <w:rFonts w:ascii="Times New Roman" w:hAnsi="Times New Roman"/>
          <w:sz w:val="28"/>
          <w:szCs w:val="28"/>
        </w:rPr>
        <w:t>Wmh将违反MDR第7条（误导性广告）的行为升格为刑事犯罪。荷兰医疗器械广告的日常合规标准主要由自律守则提供。《医疗器械行为守则》（Gedragscode Medische Hulpmiddelen</w:t>
      </w:r>
      <w:r>
        <w:rPr>
          <w:rFonts w:hint="eastAsia" w:ascii="Times New Roman" w:hAnsi="Times New Roman"/>
          <w:sz w:val="28"/>
          <w:szCs w:val="28"/>
        </w:rPr>
        <w:t>，</w:t>
      </w:r>
      <w:r>
        <w:rPr>
          <w:rFonts w:ascii="Times New Roman" w:hAnsi="Times New Roman"/>
          <w:sz w:val="28"/>
          <w:szCs w:val="28"/>
        </w:rPr>
        <w:t>GMH） 第4条要求广告不得产生不正确或误导性印象，不得导致基于错误理由的购买或使用决定。GMH由Stichting GMH管理，供应商和医疗机构行业协会均为签约方，违反守则的行为将被告知IGJ。针对面向公众的医疗器械（尤其是自我护理类器械）广告，另有 《面向公众的医疗（自我护理）器械广告守则》（CPMH）</w:t>
      </w:r>
      <w:r>
        <w:rPr>
          <w:rFonts w:hint="eastAsia" w:ascii="Times New Roman" w:hAnsi="Times New Roman"/>
          <w:sz w:val="28"/>
          <w:szCs w:val="28"/>
        </w:rPr>
        <w:t>，</w:t>
      </w:r>
      <w:r>
        <w:rPr>
          <w:rFonts w:ascii="Times New Roman" w:hAnsi="Times New Roman"/>
          <w:sz w:val="28"/>
          <w:szCs w:val="28"/>
        </w:rPr>
        <w:t>要求广告真实可信、不得夸大产品特性。此外，荷兰《民法典》关于误导性和比较性广告的一般规定同样适用于医疗器械广告。</w:t>
      </w:r>
    </w:p>
    <w:p w14:paraId="01336E5A">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荷兰对商业贿赂的刑事规制适用《荷兰刑法典》（Wetboek van Strafrecht）。普通私立医生、药师通常不构成刑法意义上的公职人员，主要适用私营部门贿赂条款，最高 1 年监禁或第五类罚金；只有当 HCP 具有公共职务或受托行使公共职权时，才适用公职贿赂条款，公诉机关为</w:t>
      </w:r>
      <w:r>
        <w:rPr>
          <w:rFonts w:ascii="Times New Roman" w:hAnsi="Times New Roman"/>
          <w:sz w:val="28"/>
          <w:szCs w:val="28"/>
        </w:rPr>
        <w:t>公共检察署（Openbaar Ministerie</w:t>
      </w:r>
      <w:r>
        <w:rPr>
          <w:rFonts w:hint="eastAsia" w:ascii="Times New Roman" w:hAnsi="Times New Roman"/>
          <w:sz w:val="28"/>
          <w:szCs w:val="28"/>
        </w:rPr>
        <w:t>，</w:t>
      </w:r>
      <w:r>
        <w:rPr>
          <w:rFonts w:ascii="Times New Roman" w:hAnsi="Times New Roman"/>
          <w:sz w:val="28"/>
          <w:szCs w:val="28"/>
        </w:rPr>
        <w:t>OM</w:t>
      </w:r>
      <w:r>
        <w:rPr>
          <w:rFonts w:hint="eastAsia" w:ascii="Times New Roman" w:hAnsi="Times New Roman"/>
          <w:sz w:val="28"/>
          <w:szCs w:val="28"/>
        </w:rPr>
        <w:t>）。荷兰对利益给付的具体限制主要来自行业自律准则，以“价值适度、与执业相关、无不当对价、可追溯披露”为边界。违反自律不等于犯罪，但若以咨询费、讲课费掩盖回扣、虚构服务或与处方采购量挂钩，则可能进入刑事评价。</w:t>
      </w:r>
    </w:p>
    <w:p w14:paraId="391BFFAF">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荷兰的数据合规受《通用数据保护条例实施法》（Uitvoeringswet AVG</w:t>
      </w:r>
      <w:r>
        <w:rPr>
          <w:rFonts w:hint="eastAsia" w:ascii="Times New Roman" w:hAnsi="Times New Roman"/>
          <w:sz w:val="28"/>
          <w:szCs w:val="28"/>
        </w:rPr>
        <w:t>，</w:t>
      </w:r>
      <w:r>
        <w:rPr>
          <w:rFonts w:ascii="Times New Roman" w:hAnsi="Times New Roman"/>
          <w:sz w:val="28"/>
          <w:szCs w:val="28"/>
        </w:rPr>
        <w:t>UAVG）和GDPR约束。荷兰的执法机构为荷兰数据保护局（Autoriteit Persoonsgegevens</w:t>
      </w:r>
      <w:r>
        <w:rPr>
          <w:rFonts w:hint="eastAsia" w:ascii="Times New Roman" w:hAnsi="Times New Roman"/>
          <w:sz w:val="28"/>
          <w:szCs w:val="28"/>
        </w:rPr>
        <w:t>，</w:t>
      </w:r>
      <w:r>
        <w:rPr>
          <w:rFonts w:ascii="Times New Roman" w:hAnsi="Times New Roman"/>
          <w:sz w:val="28"/>
          <w:szCs w:val="28"/>
        </w:rPr>
        <w:t>AP）。对临床数据向中国传输执行SCC与TIA要求。</w:t>
      </w:r>
    </w:p>
    <w:p w14:paraId="4E404220">
      <w:pPr>
        <w:pStyle w:val="26"/>
        <w:numPr>
          <w:ilvl w:val="2"/>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法国医疗器械合规专项概述</w:t>
      </w:r>
    </w:p>
    <w:p w14:paraId="231E0485">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上市准入环节</w:t>
      </w:r>
    </w:p>
    <w:p w14:paraId="27D88646">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法国的国内主管机关为国家药品和健康产品安全局（Agence Nationale de Sécurité du Médicament et des produits de santé</w:t>
      </w:r>
      <w:r>
        <w:rPr>
          <w:rFonts w:hint="eastAsia" w:ascii="Times New Roman" w:hAnsi="Times New Roman"/>
          <w:sz w:val="28"/>
          <w:szCs w:val="28"/>
        </w:rPr>
        <w:t>，</w:t>
      </w:r>
      <w:r>
        <w:rPr>
          <w:rFonts w:ascii="Times New Roman" w:hAnsi="Times New Roman"/>
          <w:sz w:val="28"/>
          <w:szCs w:val="28"/>
        </w:rPr>
        <w:t>ANSM）。</w:t>
      </w:r>
      <w:r>
        <w:rPr>
          <w:rFonts w:hint="eastAsia" w:ascii="Times New Roman" w:hAnsi="Times New Roman"/>
          <w:sz w:val="28"/>
          <w:szCs w:val="28"/>
        </w:rPr>
        <w:t>法国本土公告机构仅有两家，为GMED SAS（NB 0459），</w:t>
      </w:r>
      <w:r>
        <w:rPr>
          <w:rFonts w:ascii="Times New Roman" w:hAnsi="Times New Roman"/>
          <w:sz w:val="28"/>
          <w:szCs w:val="28"/>
        </w:rPr>
        <w:t>AFNOR Certification</w:t>
      </w:r>
      <w:r>
        <w:rPr>
          <w:rFonts w:hint="eastAsia" w:ascii="Times New Roman" w:hAnsi="Times New Roman"/>
          <w:sz w:val="28"/>
          <w:szCs w:val="28"/>
        </w:rPr>
        <w:t>（NB 0333），法国本土公告机构</w:t>
      </w:r>
      <w:r>
        <w:rPr>
          <w:rFonts w:ascii="Times New Roman" w:hAnsi="Times New Roman"/>
          <w:sz w:val="28"/>
          <w:szCs w:val="28"/>
        </w:rPr>
        <w:t>在法国本土认可度极高，但通用性较弱。这类机构的默认工作语言为法语，核心申报文件原则上要求配备法语译本；审核标准严谨，本土化要求高；认证费用处于中等水平，高风险产品审核周期约 5-10 个月。</w:t>
      </w:r>
    </w:p>
    <w:p w14:paraId="0DE13D8D">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若</w:t>
      </w:r>
      <w:r>
        <w:rPr>
          <w:rFonts w:hint="eastAsia" w:ascii="Times New Roman" w:hAnsi="Times New Roman"/>
          <w:sz w:val="28"/>
          <w:szCs w:val="28"/>
        </w:rPr>
        <w:t>选用设立</w:t>
      </w:r>
      <w:r>
        <w:rPr>
          <w:rFonts w:ascii="Times New Roman" w:hAnsi="Times New Roman"/>
          <w:sz w:val="28"/>
          <w:szCs w:val="28"/>
        </w:rPr>
        <w:t>在法国</w:t>
      </w:r>
      <w:r>
        <w:rPr>
          <w:rFonts w:hint="eastAsia" w:ascii="Times New Roman" w:hAnsi="Times New Roman"/>
          <w:sz w:val="28"/>
          <w:szCs w:val="28"/>
        </w:rPr>
        <w:t>的授权代表</w:t>
      </w:r>
      <w:r>
        <w:rPr>
          <w:rFonts w:ascii="Times New Roman" w:hAnsi="Times New Roman"/>
          <w:sz w:val="28"/>
          <w:szCs w:val="28"/>
        </w:rPr>
        <w:t>，</w:t>
      </w:r>
      <w:r>
        <w:rPr>
          <w:rFonts w:hint="eastAsia" w:ascii="Times New Roman" w:hAnsi="Times New Roman"/>
          <w:sz w:val="28"/>
          <w:szCs w:val="28"/>
        </w:rPr>
        <w:t>则</w:t>
      </w:r>
      <w:r>
        <w:rPr>
          <w:rFonts w:ascii="Times New Roman" w:hAnsi="Times New Roman"/>
          <w:sz w:val="28"/>
          <w:szCs w:val="28"/>
        </w:rPr>
        <w:t>企业的协调主管</w:t>
      </w:r>
      <w:r>
        <w:rPr>
          <w:rFonts w:hint="eastAsia" w:ascii="Times New Roman" w:hAnsi="Times New Roman"/>
          <w:sz w:val="28"/>
          <w:szCs w:val="28"/>
        </w:rPr>
        <w:t>机关</w:t>
      </w:r>
      <w:r>
        <w:rPr>
          <w:rFonts w:ascii="Times New Roman" w:hAnsi="Times New Roman"/>
          <w:sz w:val="28"/>
          <w:szCs w:val="28"/>
        </w:rPr>
        <w:t>即为 ANSM。实操中</w:t>
      </w:r>
      <w:r>
        <w:rPr>
          <w:rFonts w:hint="eastAsia" w:ascii="Times New Roman" w:hAnsi="Times New Roman"/>
          <w:sz w:val="28"/>
          <w:szCs w:val="28"/>
        </w:rPr>
        <w:t>，法国</w:t>
      </w:r>
      <w:r>
        <w:rPr>
          <w:rFonts w:ascii="Times New Roman" w:hAnsi="Times New Roman"/>
          <w:sz w:val="28"/>
          <w:szCs w:val="28"/>
        </w:rPr>
        <w:t xml:space="preserve"> SRN 审核周期约 3-5 周，所有官方监管沟通必须使用法语，对企业的法语能力要求高；监管标准严格，本土化合规要求多，仅适合核心市场聚焦法国本土的企业选择。</w:t>
      </w:r>
    </w:p>
    <w:p w14:paraId="51A030D7">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进口清关环节</w:t>
      </w:r>
    </w:p>
    <w:p w14:paraId="7D427467">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法国核心进口口岸为勒阿弗尔港与马赛港，入境查验由法国海关联合 ANSM 实施。实操中法国口岸查验严格，语言门槛高。法国海关与ANSM之间有协作机制，对高风险器械的进口可能要求提供ANSM的额外确认。</w:t>
      </w:r>
    </w:p>
    <w:p w14:paraId="097E8FBC">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经营合规</w:t>
      </w:r>
    </w:p>
    <w:p w14:paraId="4D127B01">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法国上市后监管由 ANSM 负责，执法严谨，对高风险医疗器械实施重点监控，市场抽查针对性强，违规处置力度大。所有官方监管沟通均使用法语，对不良事件报告、PSUR 等文件的法语版本要求严格，专业术语需符合法国医疗规范。若授权代表注册在法国，可直接对接 ANSM 处理本地监管事务，语言与流程适配度高；若授权代表注册在其他国家，处理法国本地的监管问询、事件报告、召回协调等事务的时间成本与沟通成本会显著上升。</w:t>
      </w:r>
    </w:p>
    <w:p w14:paraId="18256EBA">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法国对医疗器械广告采取成文法明确规制的模式，核心规范集中在《公共卫生法典》（Code de la santé publique</w:t>
      </w:r>
      <w:r>
        <w:rPr>
          <w:rFonts w:hint="eastAsia" w:ascii="Times New Roman" w:hAnsi="Times New Roman"/>
          <w:sz w:val="28"/>
          <w:szCs w:val="28"/>
        </w:rPr>
        <w:t>，</w:t>
      </w:r>
      <w:r>
        <w:rPr>
          <w:rFonts w:ascii="Times New Roman" w:hAnsi="Times New Roman"/>
          <w:sz w:val="28"/>
          <w:szCs w:val="28"/>
        </w:rPr>
        <w:t>CSP）</w:t>
      </w:r>
      <w:r>
        <w:rPr>
          <w:rFonts w:hint="eastAsia" w:ascii="Times New Roman" w:hAnsi="Times New Roman"/>
          <w:sz w:val="28"/>
          <w:szCs w:val="28"/>
        </w:rPr>
        <w:t>，并对特定医疗器械广告设立了事前审批机制</w:t>
      </w:r>
      <w:r>
        <w:rPr>
          <w:rFonts w:ascii="Times New Roman" w:hAnsi="Times New Roman"/>
          <w:sz w:val="28"/>
          <w:szCs w:val="28"/>
        </w:rPr>
        <w:t>。纳入法国法定医保报销目录的医疗器械、IIb/III 类高风险器械禁止面向公众宣传</w:t>
      </w:r>
      <w:r>
        <w:rPr>
          <w:rFonts w:hint="eastAsia" w:ascii="Times New Roman" w:hAnsi="Times New Roman"/>
          <w:sz w:val="28"/>
          <w:szCs w:val="28"/>
        </w:rPr>
        <w:t>，</w:t>
      </w:r>
      <w:r>
        <w:rPr>
          <w:rFonts w:ascii="Times New Roman" w:hAnsi="Times New Roman"/>
          <w:sz w:val="28"/>
          <w:szCs w:val="28"/>
        </w:rPr>
        <w:t>可报销的I类和IIa类器械则允许在事后监督下进行广告。</w:t>
      </w:r>
      <w:r>
        <w:rPr>
          <w:rFonts w:hint="eastAsia" w:ascii="Times New Roman" w:hAnsi="Times New Roman"/>
          <w:sz w:val="28"/>
          <w:szCs w:val="28"/>
        </w:rPr>
        <w:t>针对公众的</w:t>
      </w:r>
      <w:r>
        <w:rPr>
          <w:rFonts w:ascii="Times New Roman" w:hAnsi="Times New Roman"/>
          <w:sz w:val="28"/>
          <w:szCs w:val="28"/>
        </w:rPr>
        <w:t>广告必须使人明确识别其广告性质，且产品须被清晰标识为医疗器械；广告须载明制作或最后修改日期，并至少包含以下信息：器械的商业名称或参考号、制造商指定的预期用途、制造商或其授权代表名称、正确使用所需的关键信息、明确邀请阅读说明书或标签、根据风险等级给出的谨慎提示及咨询医生/药师建议，以及</w:t>
      </w:r>
      <w:r>
        <w:rPr>
          <w:rFonts w:hint="eastAsia" w:ascii="Times New Roman" w:hAnsi="Times New Roman"/>
          <w:sz w:val="28"/>
          <w:szCs w:val="28"/>
        </w:rPr>
        <w:t>“</w:t>
      </w:r>
      <w:r>
        <w:rPr>
          <w:rFonts w:ascii="Times New Roman" w:hAnsi="Times New Roman"/>
          <w:sz w:val="28"/>
          <w:szCs w:val="28"/>
        </w:rPr>
        <w:t>本医疗器械为受管制健康产品，带有CE标志</w:t>
      </w:r>
      <w:r>
        <w:rPr>
          <w:rFonts w:hint="eastAsia" w:ascii="Times New Roman" w:hAnsi="Times New Roman"/>
          <w:sz w:val="28"/>
          <w:szCs w:val="28"/>
        </w:rPr>
        <w:t>”</w:t>
      </w:r>
      <w:r>
        <w:rPr>
          <w:rFonts w:ascii="Times New Roman" w:hAnsi="Times New Roman"/>
          <w:sz w:val="28"/>
          <w:szCs w:val="28"/>
        </w:rPr>
        <w:t>的声明。</w:t>
      </w:r>
      <w:r>
        <w:rPr>
          <w:rFonts w:hint="eastAsia" w:ascii="Times New Roman" w:hAnsi="Times New Roman"/>
          <w:sz w:val="28"/>
          <w:szCs w:val="28"/>
        </w:rPr>
        <w:t>针对公众的医疗器械广告</w:t>
      </w:r>
      <w:r>
        <w:rPr>
          <w:rFonts w:ascii="Times New Roman" w:hAnsi="Times New Roman"/>
          <w:sz w:val="28"/>
          <w:szCs w:val="28"/>
        </w:rPr>
        <w:t>不得暗示医疗保险报销；不得使就医或手术显得多余；不得暗示效果确定、无副作用或优于其他治疗/器械；不得暗示正常健康状态可通过使用该器械得到改善，或不使用会受损；不得主要面向儿童；不得引用科学家或健康专业人员的推荐（I类或IIa类器械广告除外）；不得将器械与食品、化妆品或其他消费品相混淆。面向健康专业人员的广告须适应其受众，同样须载明日期及上述最低限度信息。与面向公众广告不同，面向专业人员的广告在内容限制上相对宽松，但仍须保持客观性。</w:t>
      </w:r>
    </w:p>
    <w:p w14:paraId="07942B04">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法国的HCP交流及反腐受《萨潘第二法案》（Loi Sapin II） 约束</w:t>
      </w:r>
      <w:r>
        <w:rPr>
          <w:rFonts w:hint="eastAsia" w:ascii="Times New Roman" w:hAnsi="Times New Roman"/>
          <w:sz w:val="28"/>
          <w:szCs w:val="28"/>
        </w:rPr>
        <w:t>，其</w:t>
      </w:r>
      <w:r>
        <w:rPr>
          <w:rFonts w:ascii="Times New Roman" w:hAnsi="Times New Roman"/>
          <w:sz w:val="28"/>
          <w:szCs w:val="28"/>
        </w:rPr>
        <w:t>要求企业建立反腐败合规体系，包括行为准则、内部警示系统、风险评估和培训。法国的执法机构为法国反腐败局（Agence Française Anticorruption, AFA）。</w:t>
      </w:r>
    </w:p>
    <w:p w14:paraId="366AA71D">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法国的数据合规受《数据保护法》（Loi Informatique et Libertés）和GDPR约束。法国的执法机构为国家信息与自由委员会（Commission Nationale de l'Informatique et des Libertés</w:t>
      </w:r>
      <w:r>
        <w:rPr>
          <w:rFonts w:hint="eastAsia" w:ascii="Times New Roman" w:hAnsi="Times New Roman"/>
          <w:sz w:val="28"/>
          <w:szCs w:val="28"/>
        </w:rPr>
        <w:t>，</w:t>
      </w:r>
      <w:r>
        <w:rPr>
          <w:rFonts w:ascii="Times New Roman" w:hAnsi="Times New Roman"/>
          <w:sz w:val="28"/>
          <w:szCs w:val="28"/>
        </w:rPr>
        <w:t>CNIL）。</w:t>
      </w:r>
    </w:p>
    <w:p w14:paraId="28BCF616">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医保准入方面，进入法国法定医保体系需通过法国卫生高级委员会（Haute Autorité de Santé</w:t>
      </w:r>
      <w:r>
        <w:rPr>
          <w:rFonts w:hint="eastAsia" w:ascii="Times New Roman" w:hAnsi="Times New Roman"/>
          <w:sz w:val="28"/>
          <w:szCs w:val="28"/>
        </w:rPr>
        <w:t>，</w:t>
      </w:r>
      <w:r>
        <w:rPr>
          <w:rFonts w:ascii="Times New Roman" w:hAnsi="Times New Roman"/>
          <w:sz w:val="28"/>
          <w:szCs w:val="28"/>
        </w:rPr>
        <w:t>HAS）的技术与经济双重评估，获得门诊（Classification Commune des Actes Médicaux</w:t>
      </w:r>
      <w:r>
        <w:rPr>
          <w:rFonts w:hint="eastAsia" w:ascii="Times New Roman" w:hAnsi="Times New Roman"/>
          <w:sz w:val="28"/>
          <w:szCs w:val="28"/>
        </w:rPr>
        <w:t>，</w:t>
      </w:r>
      <w:r>
        <w:rPr>
          <w:rFonts w:ascii="Times New Roman" w:hAnsi="Times New Roman"/>
          <w:sz w:val="28"/>
          <w:szCs w:val="28"/>
        </w:rPr>
        <w:t>CCAM）或住院（Groupe Hospitalier de Maladie</w:t>
      </w:r>
      <w:r>
        <w:rPr>
          <w:rFonts w:hint="eastAsia" w:ascii="Times New Roman" w:hAnsi="Times New Roman"/>
          <w:sz w:val="28"/>
          <w:szCs w:val="28"/>
        </w:rPr>
        <w:t>，</w:t>
      </w:r>
      <w:r>
        <w:rPr>
          <w:rFonts w:ascii="Times New Roman" w:hAnsi="Times New Roman"/>
          <w:sz w:val="28"/>
          <w:szCs w:val="28"/>
        </w:rPr>
        <w:t>GHM）报销编码，评估周期长，对卫生经济学数据要求高。</w:t>
      </w:r>
    </w:p>
    <w:p w14:paraId="1235A3D0">
      <w:pPr>
        <w:pStyle w:val="26"/>
        <w:numPr>
          <w:ilvl w:val="2"/>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英国</w:t>
      </w:r>
    </w:p>
    <w:p w14:paraId="41F6A4BA">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英国医疗器械监管体系概述</w:t>
      </w:r>
    </w:p>
    <w:p w14:paraId="7690F0D0">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英国于 2020 年 1 月 31 日正式脱离欧盟</w:t>
      </w:r>
      <w:r>
        <w:rPr>
          <w:rFonts w:hint="eastAsia" w:ascii="Times New Roman" w:hAnsi="Times New Roman"/>
          <w:sz w:val="28"/>
          <w:szCs w:val="28"/>
        </w:rPr>
        <w:t>后</w:t>
      </w:r>
      <w:r>
        <w:rPr>
          <w:rFonts w:ascii="Times New Roman" w:hAnsi="Times New Roman"/>
          <w:sz w:val="28"/>
          <w:szCs w:val="28"/>
        </w:rPr>
        <w:t>，</w:t>
      </w:r>
      <w:r>
        <w:rPr>
          <w:rFonts w:hint="eastAsia" w:ascii="Times New Roman" w:hAnsi="Times New Roman"/>
          <w:sz w:val="28"/>
          <w:szCs w:val="28"/>
        </w:rPr>
        <w:t>不再适用</w:t>
      </w:r>
      <w:r>
        <w:rPr>
          <w:rFonts w:ascii="Times New Roman" w:hAnsi="Times New Roman"/>
          <w:sz w:val="28"/>
          <w:szCs w:val="28"/>
        </w:rPr>
        <w:t>欧盟医疗器械监管体系，</w:t>
      </w:r>
      <w:r>
        <w:rPr>
          <w:rFonts w:hint="eastAsia" w:ascii="Times New Roman" w:hAnsi="Times New Roman"/>
          <w:sz w:val="28"/>
          <w:szCs w:val="28"/>
        </w:rPr>
        <w:t>根据脱欧安排</w:t>
      </w:r>
      <w:r>
        <w:rPr>
          <w:rFonts w:ascii="Times New Roman" w:hAnsi="Times New Roman"/>
          <w:sz w:val="28"/>
          <w:szCs w:val="28"/>
        </w:rPr>
        <w:t>，</w:t>
      </w:r>
      <w:r>
        <w:rPr>
          <w:rFonts w:hint="eastAsia" w:ascii="Times New Roman" w:hAnsi="Times New Roman"/>
          <w:sz w:val="28"/>
          <w:szCs w:val="28"/>
        </w:rPr>
        <w:t>逐渐</w:t>
      </w:r>
      <w:r>
        <w:rPr>
          <w:rFonts w:ascii="Times New Roman" w:hAnsi="Times New Roman"/>
          <w:sz w:val="28"/>
          <w:szCs w:val="28"/>
        </w:rPr>
        <w:t>形成大不列颠（英格兰、苏格兰、威尔士）与北爱尔兰分治的监管格局</w:t>
      </w:r>
      <w:r>
        <w:rPr>
          <w:rFonts w:hint="eastAsia" w:ascii="Times New Roman" w:hAnsi="Times New Roman"/>
          <w:sz w:val="28"/>
          <w:szCs w:val="28"/>
        </w:rPr>
        <w:t>，</w:t>
      </w:r>
      <w:r>
        <w:rPr>
          <w:rFonts w:ascii="Times New Roman" w:hAnsi="Times New Roman"/>
          <w:sz w:val="28"/>
          <w:szCs w:val="28"/>
        </w:rPr>
        <w:t>北爱尔兰依《温莎框架协议》继续直接适用欧盟</w:t>
      </w:r>
      <w:r>
        <w:rPr>
          <w:rFonts w:hint="eastAsia" w:ascii="Times New Roman" w:hAnsi="Times New Roman"/>
          <w:sz w:val="28"/>
          <w:szCs w:val="28"/>
        </w:rPr>
        <w:t>规则。</w:t>
      </w:r>
    </w:p>
    <w:p w14:paraId="502EBF9A">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英国医疗器械监管的核心法律体系以《医疗器械法规 2002》（The Medical Devices Regulations 2002</w:t>
      </w:r>
      <w:r>
        <w:rPr>
          <w:rFonts w:hint="eastAsia" w:ascii="Times New Roman" w:hAnsi="Times New Roman"/>
          <w:sz w:val="28"/>
          <w:szCs w:val="28"/>
        </w:rPr>
        <w:t>，</w:t>
      </w:r>
      <w:r>
        <w:rPr>
          <w:rFonts w:ascii="Times New Roman" w:hAnsi="Times New Roman"/>
          <w:sz w:val="28"/>
          <w:szCs w:val="28"/>
        </w:rPr>
        <w:t>SI 2002/618</w:t>
      </w:r>
      <w:r>
        <w:rPr>
          <w:rFonts w:hint="eastAsia" w:ascii="Times New Roman" w:hAnsi="Times New Roman"/>
          <w:sz w:val="28"/>
          <w:szCs w:val="28"/>
        </w:rPr>
        <w:t>，</w:t>
      </w:r>
      <w:r>
        <w:rPr>
          <w:rFonts w:ascii="Times New Roman" w:hAnsi="Times New Roman"/>
          <w:sz w:val="28"/>
          <w:szCs w:val="28"/>
        </w:rPr>
        <w:t>简称</w:t>
      </w:r>
      <w:r>
        <w:rPr>
          <w:rFonts w:hint="eastAsia" w:ascii="Times New Roman" w:hAnsi="Times New Roman"/>
          <w:sz w:val="28"/>
          <w:szCs w:val="28"/>
        </w:rPr>
        <w:t>“</w:t>
      </w:r>
      <w:r>
        <w:rPr>
          <w:rFonts w:ascii="Times New Roman" w:hAnsi="Times New Roman"/>
          <w:sz w:val="28"/>
          <w:szCs w:val="28"/>
        </w:rPr>
        <w:t>UK MDR 2002</w:t>
      </w:r>
      <w:r>
        <w:rPr>
          <w:rFonts w:hint="eastAsia" w:ascii="Times New Roman" w:hAnsi="Times New Roman"/>
          <w:sz w:val="28"/>
          <w:szCs w:val="28"/>
        </w:rPr>
        <w:t>”</w:t>
      </w:r>
      <w:r>
        <w:rPr>
          <w:rFonts w:ascii="Times New Roman" w:hAnsi="Times New Roman"/>
          <w:sz w:val="28"/>
          <w:szCs w:val="28"/>
        </w:rPr>
        <w:t>）为基础，该法规最初为转化欧盟医疗器械指令而制定，脱欧后经多次修订成为英国本土监管的核心依据。脱欧后核心</w:t>
      </w:r>
      <w:r>
        <w:rPr>
          <w:rFonts w:hint="eastAsia" w:ascii="Times New Roman" w:hAnsi="Times New Roman"/>
          <w:sz w:val="28"/>
          <w:szCs w:val="28"/>
        </w:rPr>
        <w:t>变化包括：</w:t>
      </w:r>
      <w:r>
        <w:rPr>
          <w:rFonts w:ascii="Times New Roman" w:hAnsi="Times New Roman"/>
          <w:sz w:val="28"/>
          <w:szCs w:val="28"/>
        </w:rPr>
        <w:t>正式确立英国责任人（UKRP）制度、UKCA 合规标志框架与境外制造商准入规则，</w:t>
      </w:r>
      <w:r>
        <w:rPr>
          <w:rFonts w:hint="eastAsia" w:ascii="Times New Roman" w:hAnsi="Times New Roman"/>
          <w:sz w:val="28"/>
          <w:szCs w:val="28"/>
        </w:rPr>
        <w:t>提高</w:t>
      </w:r>
      <w:r>
        <w:rPr>
          <w:rFonts w:ascii="Times New Roman" w:hAnsi="Times New Roman"/>
          <w:sz w:val="28"/>
          <w:szCs w:val="28"/>
        </w:rPr>
        <w:t>上市后监管要求</w:t>
      </w:r>
      <w:r>
        <w:rPr>
          <w:rFonts w:hint="eastAsia" w:ascii="Times New Roman" w:hAnsi="Times New Roman"/>
          <w:sz w:val="28"/>
          <w:szCs w:val="28"/>
        </w:rPr>
        <w:t>等。</w:t>
      </w:r>
      <w:r>
        <w:rPr>
          <w:rFonts w:ascii="Times New Roman" w:hAnsi="Times New Roman"/>
          <w:sz w:val="28"/>
          <w:szCs w:val="28"/>
        </w:rPr>
        <w:t>上位法层面，《2021 年药品与医疗器械法》（Medicines and Medical Devices Act 2021）授予英国卫生大臣修订医疗器械法规、实施监管处罚的法定权力，为监管体系调整提供了法律基础</w:t>
      </w:r>
      <w:r>
        <w:rPr>
          <w:rFonts w:hint="eastAsia" w:ascii="Times New Roman" w:hAnsi="Times New Roman"/>
          <w:sz w:val="28"/>
          <w:szCs w:val="28"/>
        </w:rPr>
        <w:t>。</w:t>
      </w:r>
    </w:p>
    <w:p w14:paraId="49D37DA0">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英国医疗器械的主管监管机构为药品和医疗保健产品监管局（Medicines and Healthcare products Regulatory Agency</w:t>
      </w:r>
      <w:r>
        <w:rPr>
          <w:rFonts w:hint="eastAsia" w:ascii="Times New Roman" w:hAnsi="Times New Roman"/>
          <w:sz w:val="28"/>
          <w:szCs w:val="28"/>
        </w:rPr>
        <w:t>，</w:t>
      </w:r>
      <w:r>
        <w:rPr>
          <w:rFonts w:ascii="Times New Roman" w:hAnsi="Times New Roman"/>
          <w:sz w:val="28"/>
          <w:szCs w:val="28"/>
        </w:rPr>
        <w:t>MHRA）。MHRA负责医疗器械的市场准入审批、注册管理、上市后监督、警戒系统运行以及合规执法。</w:t>
      </w:r>
    </w:p>
    <w:p w14:paraId="0DBCE8F7">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脱欧后英国设置了 CE 标志认可过渡期，逐步从欧盟体系向本土 UKCA 体系过渡，相关规则由《2023年医疗器械（修正）（大不列颠）条例》</w:t>
      </w:r>
      <w:r>
        <w:rPr>
          <w:rFonts w:hint="eastAsia" w:ascii="Times New Roman" w:hAnsi="Times New Roman"/>
          <w:sz w:val="28"/>
          <w:szCs w:val="28"/>
        </w:rPr>
        <w:t>（</w:t>
      </w:r>
      <w:r>
        <w:rPr>
          <w:rFonts w:ascii="Times New Roman" w:hAnsi="Times New Roman"/>
          <w:sz w:val="28"/>
          <w:szCs w:val="28"/>
        </w:rPr>
        <w:t xml:space="preserve"> SI 2023/627 </w:t>
      </w:r>
      <w:r>
        <w:rPr>
          <w:rFonts w:hint="eastAsia" w:ascii="Times New Roman" w:hAnsi="Times New Roman"/>
          <w:sz w:val="28"/>
          <w:szCs w:val="28"/>
        </w:rPr>
        <w:t>）</w:t>
      </w:r>
      <w:r>
        <w:rPr>
          <w:rFonts w:ascii="Times New Roman" w:hAnsi="Times New Roman"/>
          <w:sz w:val="28"/>
          <w:szCs w:val="28"/>
        </w:rPr>
        <w:t>明确划定。CE标志医疗器械</w:t>
      </w:r>
      <w:r>
        <w:rPr>
          <w:rFonts w:hint="eastAsia" w:ascii="Times New Roman" w:hAnsi="Times New Roman"/>
          <w:sz w:val="28"/>
          <w:szCs w:val="28"/>
        </w:rPr>
        <w:t>的继续投放截止期限</w:t>
      </w:r>
      <w:r>
        <w:rPr>
          <w:rFonts w:ascii="Times New Roman" w:hAnsi="Times New Roman"/>
          <w:sz w:val="28"/>
          <w:szCs w:val="28"/>
        </w:rPr>
        <w:t>因器械类型和所依据的法规而异，最迟截止至2030年6月30日。2026 年 2 月英国政府已启动公开咨询，探讨无限期认可 CE 标志医疗器械的可能性，但目前正式规则仍按上述过渡期</w:t>
      </w:r>
      <w:r>
        <w:rPr>
          <w:rFonts w:hint="eastAsia" w:ascii="Times New Roman" w:hAnsi="Times New Roman"/>
          <w:sz w:val="28"/>
          <w:szCs w:val="28"/>
        </w:rPr>
        <w:t>规则</w:t>
      </w:r>
      <w:r>
        <w:rPr>
          <w:rFonts w:ascii="Times New Roman" w:hAnsi="Times New Roman"/>
          <w:sz w:val="28"/>
          <w:szCs w:val="28"/>
        </w:rPr>
        <w:t>执行</w:t>
      </w:r>
      <w:r>
        <w:rPr>
          <w:rFonts w:hint="eastAsia" w:ascii="Times New Roman" w:hAnsi="Times New Roman"/>
          <w:sz w:val="28"/>
          <w:szCs w:val="28"/>
        </w:rPr>
        <w:t>。对中国制造商而言，</w:t>
      </w:r>
      <w:r>
        <w:rPr>
          <w:rFonts w:ascii="Times New Roman" w:hAnsi="Times New Roman"/>
          <w:sz w:val="28"/>
          <w:szCs w:val="28"/>
        </w:rPr>
        <w:t>如果产品已经持有有效的CE标志，在</w:t>
      </w:r>
      <w:r>
        <w:rPr>
          <w:rFonts w:hint="eastAsia" w:ascii="Times New Roman" w:hAnsi="Times New Roman"/>
          <w:sz w:val="28"/>
          <w:szCs w:val="28"/>
        </w:rPr>
        <w:t>相应</w:t>
      </w:r>
      <w:r>
        <w:rPr>
          <w:rFonts w:ascii="Times New Roman" w:hAnsi="Times New Roman"/>
          <w:sz w:val="28"/>
          <w:szCs w:val="28"/>
        </w:rPr>
        <w:t>过渡期内，该产品</w:t>
      </w:r>
      <w:r>
        <w:rPr>
          <w:rFonts w:hint="eastAsia" w:ascii="Times New Roman" w:hAnsi="Times New Roman"/>
          <w:sz w:val="28"/>
          <w:szCs w:val="28"/>
        </w:rPr>
        <w:t>仍可</w:t>
      </w:r>
      <w:r>
        <w:rPr>
          <w:rFonts w:ascii="Times New Roman" w:hAnsi="Times New Roman"/>
          <w:sz w:val="28"/>
          <w:szCs w:val="28"/>
        </w:rPr>
        <w:t>凭CE标志进入大不列颠市场，无需另行申请UKCA认证</w:t>
      </w:r>
      <w:r>
        <w:rPr>
          <w:rFonts w:hint="eastAsia" w:ascii="Times New Roman" w:hAnsi="Times New Roman"/>
          <w:sz w:val="28"/>
          <w:szCs w:val="28"/>
        </w:rPr>
        <w:t>。</w:t>
      </w:r>
    </w:p>
    <w:p w14:paraId="59B48DD9">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上市准入环节</w:t>
      </w:r>
    </w:p>
    <w:p w14:paraId="427FE219">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上市准入是产品进入英国市场的核心环节，所有要求均基于 UK MDR 2002 及脱欧修订法规，中国制造商需按产品风险等级完成对应合规程序。根据UK MDR 2002第7条及附件IX，通用医疗器械按风险等级分为Class I、IIa、IIb和III四类。制造商须首先依据UK MDR 2002确定产品的分类。对于Class I非无菌、非测量类器械，制造商可进行自我声明并签署符合性声明；但更高风险等级的器械必须由英国认可机构</w:t>
      </w:r>
      <w:r>
        <w:rPr>
          <w:rFonts w:hint="eastAsia" w:ascii="Times New Roman" w:hAnsi="Times New Roman"/>
          <w:sz w:val="28"/>
          <w:szCs w:val="28"/>
        </w:rPr>
        <w:t>（</w:t>
      </w:r>
      <w:r>
        <w:rPr>
          <w:rFonts w:ascii="Times New Roman" w:hAnsi="Times New Roman"/>
          <w:sz w:val="28"/>
          <w:szCs w:val="28"/>
        </w:rPr>
        <w:t>UK Approved Body</w:t>
      </w:r>
      <w:r>
        <w:rPr>
          <w:rFonts w:hint="eastAsia" w:ascii="Times New Roman" w:hAnsi="Times New Roman"/>
          <w:sz w:val="28"/>
          <w:szCs w:val="28"/>
        </w:rPr>
        <w:t>）</w:t>
      </w:r>
      <w:r>
        <w:rPr>
          <w:rFonts w:ascii="Times New Roman" w:hAnsi="Times New Roman"/>
          <w:sz w:val="28"/>
          <w:szCs w:val="28"/>
        </w:rPr>
        <w:t>或（在CE标志过渡期内）欧盟公告机构完成符合性评估。UKCA（UK Conformity Assessed）是英国本土合规标志，用于证明产品符合 UK MDR 2002 的基本安全与性能要求。Is/Im 类、IIa/IIb/III 类器械</w:t>
      </w:r>
      <w:r>
        <w:rPr>
          <w:rFonts w:hint="eastAsia" w:ascii="Times New Roman" w:hAnsi="Times New Roman"/>
          <w:sz w:val="28"/>
          <w:szCs w:val="28"/>
        </w:rPr>
        <w:t>完成第三方符合性评估，由英国认可机构</w:t>
      </w:r>
      <w:r>
        <w:rPr>
          <w:rFonts w:ascii="Times New Roman" w:hAnsi="Times New Roman"/>
          <w:sz w:val="28"/>
          <w:szCs w:val="28"/>
        </w:rPr>
        <w:t>出具认证证书后，方可加贴 UKCA 标志。UKCA 标志需清晰、永久地加贴在器械本体或最小销售包装上，涉及公告机构评审的产品，标志下方需标注对应公告机构编号</w:t>
      </w:r>
      <w:r>
        <w:rPr>
          <w:rFonts w:hint="eastAsia" w:ascii="Times New Roman" w:hAnsi="Times New Roman"/>
          <w:sz w:val="28"/>
          <w:szCs w:val="28"/>
        </w:rPr>
        <w:t>。</w:t>
      </w:r>
    </w:p>
    <w:p w14:paraId="1DF34388">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依据 UK MDR 2002 第 33A 条（SI 2019/791 修订）之规定，非英国本土制造商必须指定唯一一家在英国境内注册的实体作为英国责任人</w:t>
      </w:r>
      <w:r>
        <w:rPr>
          <w:rFonts w:hint="eastAsia" w:ascii="Times New Roman" w:hAnsi="Times New Roman"/>
          <w:sz w:val="28"/>
          <w:szCs w:val="28"/>
        </w:rPr>
        <w:t>（</w:t>
      </w:r>
      <w:r>
        <w:rPr>
          <w:rFonts w:ascii="Times New Roman" w:hAnsi="Times New Roman"/>
          <w:sz w:val="28"/>
          <w:szCs w:val="28"/>
        </w:rPr>
        <w:t>UK Responsible Person</w:t>
      </w:r>
      <w:r>
        <w:rPr>
          <w:rFonts w:hint="eastAsia" w:ascii="Times New Roman" w:hAnsi="Times New Roman"/>
          <w:sz w:val="28"/>
          <w:szCs w:val="28"/>
        </w:rPr>
        <w:t>，</w:t>
      </w:r>
      <w:r>
        <w:rPr>
          <w:rFonts w:ascii="Times New Roman" w:hAnsi="Times New Roman"/>
          <w:sz w:val="28"/>
          <w:szCs w:val="28"/>
        </w:rPr>
        <w:t>UKRP</w:t>
      </w:r>
      <w:r>
        <w:rPr>
          <w:rFonts w:hint="eastAsia" w:ascii="Times New Roman" w:hAnsi="Times New Roman"/>
          <w:sz w:val="28"/>
          <w:szCs w:val="28"/>
        </w:rPr>
        <w:t>）</w:t>
      </w:r>
      <w:r>
        <w:rPr>
          <w:rFonts w:ascii="Times New Roman" w:hAnsi="Times New Roman"/>
          <w:sz w:val="28"/>
          <w:szCs w:val="28"/>
        </w:rPr>
        <w:t>，承担法定合规连带责任。英国责任人的核心法定职责包括：核实制造商已完成符合性评估、签署符合性声明、建立完整技术文件；留存技术文件、符合性声明、认证证书副本，供 MHRA 随时检查，保存期至少 10 年，植入类器械要求更长；作为 MHRA 的官方对接主体，配合监管问询、提供样品、传递整改要求；接收并向制造商转递市场不良事件、投诉和安全预警；若制造商违反法规，有权终止合作并向 MHRA 通报。英国责任人的名称与地址信息需标注在产品包装或使用说明书上。UKRP的指定须通过UKRP协议和指定函正式化，UKRP须向MHRA提供其获得制造商授权将医疗器械投放市场的书面证据。</w:t>
      </w:r>
    </w:p>
    <w:p w14:paraId="2E95A1A8">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根据UK MDR 2002，所有拟投放于大不列颠市场的医疗器械，包括定制器械、系统或手术包，在上市前必须通过MHRA的器械在线注册系统（DORS）完成注册。</w:t>
      </w:r>
      <w:r>
        <w:rPr>
          <w:rFonts w:hint="eastAsia" w:ascii="Times New Roman" w:hAnsi="Times New Roman"/>
          <w:sz w:val="28"/>
          <w:szCs w:val="28"/>
        </w:rPr>
        <w:t>非</w:t>
      </w:r>
      <w:r>
        <w:rPr>
          <w:rFonts w:ascii="Times New Roman" w:hAnsi="Times New Roman"/>
          <w:sz w:val="28"/>
          <w:szCs w:val="28"/>
        </w:rPr>
        <w:t>英国本土制造商不可直接向 MHRA 提交产品注册申请，必须通过其正式指定的UKRP完成注册流程</w:t>
      </w:r>
      <w:r>
        <w:rPr>
          <w:rFonts w:hint="eastAsia" w:ascii="Times New Roman" w:hAnsi="Times New Roman"/>
          <w:sz w:val="28"/>
          <w:szCs w:val="28"/>
        </w:rPr>
        <w:t>。</w:t>
      </w:r>
      <w:r>
        <w:rPr>
          <w:rFonts w:ascii="Times New Roman" w:hAnsi="Times New Roman"/>
          <w:sz w:val="28"/>
          <w:szCs w:val="28"/>
        </w:rPr>
        <w:t>注册需提交的信息涵盖三大类：一是制造商与责任主体信息，包括境外制造商法定名称与注册地址、UKRP 的名称地址及正式指定证明文件、企业行政联系人信息；二是器械核心信息，包括产品适用的法规范围、监管风险分类（普通器械划分为 I/IIa/IIb/III 类，IVD 产品划分为 A/B/C/D 类）、全球医疗器械命名体系（GMDN）编码与对应标准术语、产品品牌 / 商品名、型号 / 版本号、目录 / 参考号、UDI-DI（如适用）、对应公告机构名称及编号（如需第三方评审）、无菌 / 含乳胶 / MRI 兼容等产品属性；三是合规证明文件，包括符合性声明（DoC）、公告机构出具的符合性评估证书（如适用）。注册完成后，产品将被纳入 MHRA 公共注册数据库（PARD）并生成唯一注册条目，该注册记录为产品在大不列颠市场合法上市的合规凭证。</w:t>
      </w:r>
    </w:p>
    <w:p w14:paraId="7EB2AC33">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进口合规</w:t>
      </w:r>
    </w:p>
    <w:p w14:paraId="561D4D63">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进口清关环节的监管由英国海关（His Majesty's Revenue and Customs</w:t>
      </w:r>
      <w:r>
        <w:rPr>
          <w:rFonts w:hint="eastAsia" w:ascii="Times New Roman" w:hAnsi="Times New Roman"/>
          <w:sz w:val="28"/>
          <w:szCs w:val="28"/>
        </w:rPr>
        <w:t>，</w:t>
      </w:r>
      <w:r>
        <w:rPr>
          <w:rFonts w:ascii="Times New Roman" w:hAnsi="Times New Roman"/>
          <w:sz w:val="28"/>
          <w:szCs w:val="28"/>
        </w:rPr>
        <w:t>HMRC）与MHRA协同实施</w:t>
      </w:r>
      <w:r>
        <w:rPr>
          <w:rFonts w:hint="eastAsia" w:ascii="Times New Roman" w:hAnsi="Times New Roman"/>
          <w:sz w:val="28"/>
          <w:szCs w:val="28"/>
        </w:rPr>
        <w:t>，</w:t>
      </w:r>
      <w:r>
        <w:rPr>
          <w:rFonts w:ascii="Times New Roman" w:hAnsi="Times New Roman"/>
          <w:sz w:val="28"/>
          <w:szCs w:val="28"/>
        </w:rPr>
        <w:t>HMRC 承担边境前端的海关程序、关税征收与货物扣留权限，MHRA 执法组承担医疗器械法规的实质性合规判定与执法，二者分工协作。货物到港前必须完成全部上市准入程序，包括 MHRA 产品注册、指定英国责任人、具备有效 UKCA 标志（或过渡期内有效 CE 标志），这是清关的前置条件。清关需准备两类文件：第一类是基础贸易文件，包括商业发票、装箱单、海运 / 空运提单、原产地证书；第二类是合规证明文件，包括 MHRA 注册编号、符合性声明（Declaration of Conformity）、UKCA/CE 认证证书（如适用）、英国责任人名称与地址证明文件。</w:t>
      </w:r>
    </w:p>
    <w:p w14:paraId="27850FB9">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经营合规</w:t>
      </w:r>
    </w:p>
    <w:p w14:paraId="21CD89A1">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《2024年医疗器械（上市后监督要求）（修正）（大不列颠）条例》</w:t>
      </w:r>
      <w:r>
        <w:rPr>
          <w:rFonts w:hint="eastAsia" w:ascii="Times New Roman" w:hAnsi="Times New Roman"/>
          <w:sz w:val="28"/>
          <w:szCs w:val="28"/>
        </w:rPr>
        <w:t>（</w:t>
      </w:r>
      <w:r>
        <w:rPr>
          <w:rFonts w:ascii="Times New Roman" w:hAnsi="Times New Roman"/>
          <w:sz w:val="28"/>
          <w:szCs w:val="28"/>
        </w:rPr>
        <w:t>SI 2024/1368</w:t>
      </w:r>
      <w:r>
        <w:rPr>
          <w:rFonts w:hint="eastAsia" w:ascii="Times New Roman" w:hAnsi="Times New Roman"/>
          <w:sz w:val="28"/>
          <w:szCs w:val="28"/>
        </w:rPr>
        <w:t>）</w:t>
      </w:r>
      <w:r>
        <w:rPr>
          <w:rFonts w:ascii="Times New Roman" w:hAnsi="Times New Roman"/>
          <w:sz w:val="28"/>
          <w:szCs w:val="28"/>
        </w:rPr>
        <w:t xml:space="preserve"> 在UK MDR 2002中新增上市后</w:t>
      </w:r>
      <w:r>
        <w:rPr>
          <w:rFonts w:hint="eastAsia" w:ascii="Times New Roman" w:hAnsi="Times New Roman"/>
          <w:sz w:val="28"/>
          <w:szCs w:val="28"/>
        </w:rPr>
        <w:t>监管</w:t>
      </w:r>
      <w:r>
        <w:rPr>
          <w:rFonts w:ascii="Times New Roman" w:hAnsi="Times New Roman"/>
          <w:sz w:val="28"/>
          <w:szCs w:val="28"/>
        </w:rPr>
        <w:t>要求，适用于所有在大不列颠上市的医疗器械。新规要求制造商必须建立与器械风险等级相匹配的上市后监督（PMS）体系，持续收集、分析真实世界的安全与性能数据，实现产品全生命周期可追溯管理。制造商须在涉及器械的事件在英国发生且满足报告标准时，向MHRA提交报告。制造商对确保所有警戒活动符合要求承担法律责任，可将个别任务委托给UKRP，但制造商仍承担最终法律责任。须报告的内容包括：严重事件、现场安全纠正措施（FSCA）和不良趋势。严重事件须在15天内报告（此前为30天）</w:t>
      </w:r>
      <w:r>
        <w:rPr>
          <w:rFonts w:hint="eastAsia" w:ascii="Times New Roman" w:hAnsi="Times New Roman"/>
          <w:sz w:val="28"/>
          <w:szCs w:val="28"/>
        </w:rPr>
        <w:t>；</w:t>
      </w:r>
      <w:r>
        <w:rPr>
          <w:rFonts w:ascii="Times New Roman" w:hAnsi="Times New Roman"/>
          <w:sz w:val="28"/>
          <w:szCs w:val="28"/>
        </w:rPr>
        <w:t>非严重不良事件无需单独报告，但需纳入趋势监测体系，当事件数量或严重程度出现显著上升、超出预期阈值时，制造商需主动向 MHRA 提交趋势报告。定期安全报告是另一项核心义务，</w:t>
      </w:r>
      <w:r>
        <w:rPr>
          <w:rFonts w:hint="eastAsia" w:ascii="Times New Roman" w:hAnsi="Times New Roman"/>
          <w:sz w:val="28"/>
          <w:szCs w:val="28"/>
        </w:rPr>
        <w:t>包括</w:t>
      </w:r>
      <w:r>
        <w:rPr>
          <w:rFonts w:ascii="Times New Roman" w:hAnsi="Times New Roman"/>
          <w:sz w:val="28"/>
          <w:szCs w:val="28"/>
        </w:rPr>
        <w:t>上市后监督报告（PMSR），适用于 I 类器械、A/B 类 IVD 产品，首次上市后 3 年内提交，之后每 3 年更新一次；</w:t>
      </w:r>
      <w:r>
        <w:rPr>
          <w:rFonts w:hint="eastAsia" w:ascii="Times New Roman" w:hAnsi="Times New Roman"/>
          <w:sz w:val="28"/>
          <w:szCs w:val="28"/>
        </w:rPr>
        <w:t>以及</w:t>
      </w:r>
      <w:r>
        <w:rPr>
          <w:rFonts w:ascii="Times New Roman" w:hAnsi="Times New Roman"/>
          <w:sz w:val="28"/>
          <w:szCs w:val="28"/>
        </w:rPr>
        <w:t>定期安全更新报告（PSUR），适用于 II/III 类器械、C/D 类 IVD 产品，按风险等级定期提交，高风险器械提交频率更高。若 MHRA 提出专项要求，制造商需在 3 天内提交指定的监督数据或报告。</w:t>
      </w:r>
    </w:p>
    <w:p w14:paraId="604D4D22">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英国对医疗器械广告采取通用广告规则、行业自律准测、医疗器械监管兜底的复核监管体系。</w:t>
      </w:r>
      <w:r>
        <w:rPr>
          <w:rFonts w:ascii="Times New Roman" w:hAnsi="Times New Roman"/>
          <w:sz w:val="28"/>
          <w:szCs w:val="28"/>
        </w:rPr>
        <w:t>英国广告标准局（ASA）是广告内容合规的主要执法机构，负责受理投诉、调查违规广告并责令下架。ASA有权公开通报违规行为，情节严重的可移交相关机构进一步处理。地方交易标准局（Trading Standards） 在消费者保护层面参与医疗器械广告执法。MHRA 是医疗器械法规的执法主体</w:t>
      </w:r>
      <w:r>
        <w:rPr>
          <w:rFonts w:hint="eastAsia" w:ascii="Times New Roman" w:hAnsi="Times New Roman"/>
          <w:sz w:val="28"/>
          <w:szCs w:val="28"/>
        </w:rPr>
        <w:t>，</w:t>
      </w:r>
      <w:r>
        <w:rPr>
          <w:rFonts w:ascii="Times New Roman" w:hAnsi="Times New Roman"/>
          <w:sz w:val="28"/>
          <w:szCs w:val="28"/>
        </w:rPr>
        <w:t>若广告推广的产品本身违反医疗器械法规（如未注册、无合规标志、假冒产品），或虚假宣传引发产品安全风险，MHRA 可依据 UK MDR 2002 介入执法，采取产品下架、召回、市场禁入、罚款等措施，追究产品合规责任。</w:t>
      </w:r>
    </w:p>
    <w:p w14:paraId="52C1AE40">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UK MDR 2002 不设专项广告条款，医疗器械广告</w:t>
      </w:r>
      <w:r>
        <w:rPr>
          <w:rFonts w:hint="eastAsia" w:ascii="Times New Roman" w:hAnsi="Times New Roman"/>
          <w:sz w:val="28"/>
          <w:szCs w:val="28"/>
        </w:rPr>
        <w:t>适用通用的广告规则，主要法律依据为</w:t>
      </w:r>
      <w:r>
        <w:rPr>
          <w:rFonts w:ascii="Times New Roman" w:hAnsi="Times New Roman"/>
          <w:sz w:val="28"/>
          <w:szCs w:val="28"/>
        </w:rPr>
        <w:t>《2024 年数字市场、竞争和消费者法》（Digital Markets, Competition and Consumers Act 2024</w:t>
      </w:r>
      <w:r>
        <w:rPr>
          <w:rFonts w:hint="eastAsia" w:ascii="Times New Roman" w:hAnsi="Times New Roman"/>
          <w:sz w:val="28"/>
          <w:szCs w:val="28"/>
        </w:rPr>
        <w:t>，</w:t>
      </w:r>
      <w:r>
        <w:rPr>
          <w:rFonts w:ascii="Times New Roman" w:hAnsi="Times New Roman"/>
          <w:sz w:val="28"/>
          <w:szCs w:val="28"/>
        </w:rPr>
        <w:t>DMCCA 2024）</w:t>
      </w:r>
      <w:r>
        <w:rPr>
          <w:rFonts w:hint="eastAsia" w:ascii="Times New Roman" w:hAnsi="Times New Roman"/>
          <w:sz w:val="28"/>
          <w:szCs w:val="28"/>
        </w:rPr>
        <w:t>、</w:t>
      </w:r>
      <w:r>
        <w:rPr>
          <w:rFonts w:ascii="Times New Roman" w:hAnsi="Times New Roman"/>
          <w:sz w:val="28"/>
          <w:szCs w:val="28"/>
        </w:rPr>
        <w:t>《2008 年商业保护免受误导营销条例》（Business Protection from Misleading Marketing Regulations 2008</w:t>
      </w:r>
      <w:r>
        <w:rPr>
          <w:rFonts w:hint="eastAsia" w:ascii="Times New Roman" w:hAnsi="Times New Roman"/>
          <w:sz w:val="28"/>
          <w:szCs w:val="28"/>
        </w:rPr>
        <w:t>，</w:t>
      </w:r>
      <w:r>
        <w:rPr>
          <w:rFonts w:ascii="Times New Roman" w:hAnsi="Times New Roman"/>
          <w:sz w:val="28"/>
          <w:szCs w:val="28"/>
        </w:rPr>
        <w:t>SI 2008/1276</w:t>
      </w:r>
      <w:r>
        <w:rPr>
          <w:rFonts w:hint="eastAsia" w:ascii="Times New Roman" w:hAnsi="Times New Roman"/>
          <w:sz w:val="28"/>
          <w:szCs w:val="28"/>
        </w:rPr>
        <w:t>，</w:t>
      </w:r>
      <w:r>
        <w:rPr>
          <w:rFonts w:ascii="Times New Roman" w:hAnsi="Times New Roman"/>
          <w:sz w:val="28"/>
          <w:szCs w:val="28"/>
        </w:rPr>
        <w:t>BPR 2008）</w:t>
      </w:r>
      <w:r>
        <w:rPr>
          <w:rFonts w:hint="eastAsia" w:ascii="Times New Roman" w:hAnsi="Times New Roman"/>
          <w:sz w:val="28"/>
          <w:szCs w:val="28"/>
        </w:rPr>
        <w:t>等。行业资料准则包括</w:t>
      </w:r>
      <w:r>
        <w:rPr>
          <w:rFonts w:ascii="Times New Roman" w:hAnsi="Times New Roman"/>
          <w:sz w:val="28"/>
          <w:szCs w:val="28"/>
        </w:rPr>
        <w:t>英国广告标准局（ASA）制定的《非广播广告与直销推广准则》（CAP Code）</w:t>
      </w:r>
      <w:r>
        <w:rPr>
          <w:rFonts w:hint="eastAsia" w:ascii="Times New Roman" w:hAnsi="Times New Roman"/>
          <w:sz w:val="28"/>
          <w:szCs w:val="28"/>
        </w:rPr>
        <w:t>、</w:t>
      </w:r>
      <w:r>
        <w:rPr>
          <w:rFonts w:ascii="Times New Roman" w:hAnsi="Times New Roman"/>
          <w:sz w:val="28"/>
          <w:szCs w:val="28"/>
        </w:rPr>
        <w:t>英国健康科技行业协会（ABHI）发布的ABHI Code of Practice自律准则</w:t>
      </w:r>
      <w:r>
        <w:rPr>
          <w:rFonts w:hint="eastAsia" w:ascii="Times New Roman" w:hAnsi="Times New Roman"/>
          <w:sz w:val="28"/>
          <w:szCs w:val="28"/>
        </w:rPr>
        <w:t>。</w:t>
      </w:r>
      <w:r>
        <w:rPr>
          <w:rFonts w:ascii="Times New Roman" w:hAnsi="Times New Roman"/>
          <w:sz w:val="28"/>
          <w:szCs w:val="28"/>
        </w:rPr>
        <w:t>虽CAP Code是行业自律性质</w:t>
      </w:r>
      <w:r>
        <w:rPr>
          <w:rFonts w:hint="eastAsia" w:ascii="Times New Roman" w:hAnsi="Times New Roman"/>
          <w:sz w:val="28"/>
          <w:szCs w:val="28"/>
        </w:rPr>
        <w:t>的文件</w:t>
      </w:r>
      <w:r>
        <w:rPr>
          <w:rFonts w:ascii="Times New Roman" w:hAnsi="Times New Roman"/>
          <w:sz w:val="28"/>
          <w:szCs w:val="28"/>
        </w:rPr>
        <w:t>，但 ASA 拥有法定的投诉调查与处置权，是实践中最主要的广告合规依据</w:t>
      </w:r>
      <w:r>
        <w:rPr>
          <w:rFonts w:hint="eastAsia" w:ascii="Times New Roman" w:hAnsi="Times New Roman"/>
          <w:sz w:val="28"/>
          <w:szCs w:val="28"/>
        </w:rPr>
        <w:t>。ASA 在执法实践中，主要考察以下四方面的合规性。其一，产品合规性。广告推广的产品必须已完成 MHRA 注册、具备有效 UKCA/CE 标志，未准入产品禁止任何商业推广。其二，用途一致性。广告宣传的预期用途必须与产品注册获批的范围完全一致，不得扩大适应症、夸大疗效、暗示未获批的临床用途。其三，广告中涉及的临床疗效、性能数据、安全性宣称，必须具备充分、可靠的科学证据支持，不得虚构或片面引用研究结果。面向医疗专业人士的广告可引用专业临床数据，面向公众的广告则禁止使用易产生误导的专业术语与绝对化表述。其四，比较广告限制。进行竞品对比的广告需符合 BPR 2008 要求，对比内容必须客观、可验证，不得通过片面对比贬低竞争对手。</w:t>
      </w:r>
    </w:p>
    <w:p w14:paraId="7E8D26B8">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英国的HCP交流及反腐受《2010年反贿赂法》（Bribery Act 2010） 约束</w:t>
      </w:r>
      <w:r>
        <w:rPr>
          <w:rFonts w:hint="eastAsia" w:ascii="Times New Roman" w:hAnsi="Times New Roman"/>
          <w:sz w:val="28"/>
          <w:szCs w:val="28"/>
        </w:rPr>
        <w:t>，由</w:t>
      </w:r>
      <w:r>
        <w:rPr>
          <w:rFonts w:ascii="Times New Roman" w:hAnsi="Times New Roman"/>
          <w:sz w:val="28"/>
          <w:szCs w:val="28"/>
        </w:rPr>
        <w:t>严重欺诈办公室（Serious Fraud Office</w:t>
      </w:r>
      <w:r>
        <w:rPr>
          <w:rFonts w:hint="eastAsia" w:ascii="Times New Roman" w:hAnsi="Times New Roman"/>
          <w:sz w:val="28"/>
          <w:szCs w:val="28"/>
        </w:rPr>
        <w:t>，</w:t>
      </w:r>
      <w:r>
        <w:rPr>
          <w:rFonts w:ascii="Times New Roman" w:hAnsi="Times New Roman"/>
          <w:sz w:val="28"/>
          <w:szCs w:val="28"/>
        </w:rPr>
        <w:t>SFO）</w:t>
      </w:r>
      <w:r>
        <w:rPr>
          <w:rFonts w:hint="eastAsia" w:ascii="Times New Roman" w:hAnsi="Times New Roman"/>
          <w:sz w:val="28"/>
          <w:szCs w:val="28"/>
        </w:rPr>
        <w:t>负责执法</w:t>
      </w:r>
      <w:r>
        <w:rPr>
          <w:rFonts w:ascii="Times New Roman" w:hAnsi="Times New Roman"/>
          <w:sz w:val="28"/>
          <w:szCs w:val="28"/>
        </w:rPr>
        <w:t>。该法对商业组织未能预防贿赂规定了严格责任</w:t>
      </w:r>
      <w:r>
        <w:rPr>
          <w:rFonts w:hint="eastAsia" w:ascii="Times New Roman" w:hAnsi="Times New Roman"/>
          <w:sz w:val="28"/>
          <w:szCs w:val="28"/>
        </w:rPr>
        <w:t>，</w:t>
      </w:r>
      <w:r>
        <w:rPr>
          <w:rFonts w:ascii="Times New Roman" w:hAnsi="Times New Roman"/>
          <w:sz w:val="28"/>
          <w:szCs w:val="28"/>
        </w:rPr>
        <w:t>公司若未能阻止与其有关联的人员（包括分销商、代理商等）为公司利益而行贿，即构成犯罪。与医疗保健专业人员（HCP）和医疗保健组织（HCO）的所有互动都必须符合该法，向HCP或HCO转移价值时须特别谨慎，报酬应按公允市场价值（FMV） 支付。企业须建立</w:t>
      </w:r>
      <w:r>
        <w:rPr>
          <w:rFonts w:hint="eastAsia" w:ascii="Times New Roman" w:hAnsi="Times New Roman"/>
          <w:sz w:val="28"/>
          <w:szCs w:val="28"/>
        </w:rPr>
        <w:t>充分</w:t>
      </w:r>
      <w:r>
        <w:rPr>
          <w:rFonts w:ascii="Times New Roman" w:hAnsi="Times New Roman"/>
          <w:sz w:val="28"/>
          <w:szCs w:val="28"/>
        </w:rPr>
        <w:t>反贿赂程序以</w:t>
      </w:r>
      <w:r>
        <w:rPr>
          <w:rFonts w:hint="eastAsia" w:ascii="Times New Roman" w:hAnsi="Times New Roman"/>
          <w:sz w:val="28"/>
          <w:szCs w:val="28"/>
        </w:rPr>
        <w:t>符合合规要求。</w:t>
      </w:r>
    </w:p>
    <w:p w14:paraId="6F66635D">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英国的数据合规受《2018年数据保护法》（Data Protection Act 2018） 和英国版通用数据保护条例</w:t>
      </w:r>
      <w:r>
        <w:rPr>
          <w:rFonts w:hint="eastAsia" w:ascii="Times New Roman" w:hAnsi="Times New Roman"/>
          <w:sz w:val="28"/>
          <w:szCs w:val="28"/>
        </w:rPr>
        <w:t>（</w:t>
      </w:r>
      <w:r>
        <w:rPr>
          <w:rFonts w:ascii="Times New Roman" w:hAnsi="Times New Roman"/>
          <w:sz w:val="28"/>
          <w:szCs w:val="28"/>
        </w:rPr>
        <w:t>UK GDPR</w:t>
      </w:r>
      <w:r>
        <w:rPr>
          <w:rFonts w:hint="eastAsia" w:ascii="Times New Roman" w:hAnsi="Times New Roman"/>
          <w:sz w:val="28"/>
          <w:szCs w:val="28"/>
        </w:rPr>
        <w:t>）</w:t>
      </w:r>
      <w:r>
        <w:rPr>
          <w:rFonts w:ascii="Times New Roman" w:hAnsi="Times New Roman"/>
          <w:sz w:val="28"/>
          <w:szCs w:val="28"/>
        </w:rPr>
        <w:t>约束。英国的执法机构为信息专员办公室（Information Commissioner's Office, ICO）。医疗器械的临床数据通常构成UK GDPR下的特殊类别个人数据（健康数据），即使经过编码或假名化处理，仍受UK GDPR和《2018年数据保护法》的严格保护</w:t>
      </w:r>
      <w:r>
        <w:rPr>
          <w:rFonts w:hint="eastAsia" w:ascii="Times New Roman" w:hAnsi="Times New Roman"/>
          <w:sz w:val="28"/>
          <w:szCs w:val="28"/>
        </w:rPr>
        <w:t>。</w:t>
      </w:r>
      <w:r>
        <w:rPr>
          <w:rFonts w:ascii="Times New Roman" w:hAnsi="Times New Roman"/>
          <w:sz w:val="28"/>
          <w:szCs w:val="28"/>
        </w:rPr>
        <w:t>处理时需具备明确的合法性基础，履行数据主体权利保障、数据安全防护、影响评估等法定义务。若产品数据需跨境传输至中国境内，需符合英国数据跨境传输规则，采取适当的保障措施</w:t>
      </w:r>
      <w:r>
        <w:rPr>
          <w:rFonts w:hint="eastAsia" w:ascii="Times New Roman" w:hAnsi="Times New Roman"/>
          <w:sz w:val="28"/>
          <w:szCs w:val="28"/>
        </w:rPr>
        <w:t>。</w:t>
      </w:r>
      <w:r>
        <w:rPr>
          <w:rFonts w:ascii="Times New Roman" w:hAnsi="Times New Roman"/>
          <w:sz w:val="28"/>
          <w:szCs w:val="28"/>
        </w:rPr>
        <w:t>制造商的数据库须确保数据被合法处理、相关且限于必要范围、采取充分安全措施、不超期存储，并告知相关个人其数据的使用和存储情况。</w:t>
      </w:r>
    </w:p>
    <w:p w14:paraId="49E2BAB5">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供</w:t>
      </w:r>
      <w:r>
        <w:rPr>
          <w:rFonts w:ascii="Times New Roman" w:hAnsi="Times New Roman"/>
          <w:sz w:val="28"/>
          <w:szCs w:val="28"/>
        </w:rPr>
        <w:t>应链与强迫劳动合规方面，依据《2015 年现代奴隶制法》（Modern Slavery Act 2015</w:t>
      </w:r>
      <w:r>
        <w:rPr>
          <w:rFonts w:hint="eastAsia" w:ascii="Times New Roman" w:hAnsi="Times New Roman"/>
          <w:sz w:val="28"/>
          <w:szCs w:val="28"/>
        </w:rPr>
        <w:t>，</w:t>
      </w:r>
      <w:r>
        <w:rPr>
          <w:rFonts w:ascii="Times New Roman" w:hAnsi="Times New Roman"/>
          <w:sz w:val="28"/>
          <w:szCs w:val="28"/>
        </w:rPr>
        <w:t>c.30）</w:t>
      </w:r>
      <w:r>
        <w:rPr>
          <w:rFonts w:hint="eastAsia" w:ascii="Times New Roman" w:hAnsi="Times New Roman"/>
          <w:sz w:val="28"/>
          <w:szCs w:val="28"/>
        </w:rPr>
        <w:t>，</w:t>
      </w:r>
      <w:r>
        <w:rPr>
          <w:rFonts w:ascii="Times New Roman" w:hAnsi="Times New Roman"/>
          <w:sz w:val="28"/>
          <w:szCs w:val="28"/>
        </w:rPr>
        <w:t>营业额达到门槛的英国企业发布现代奴役声明，披露其为确保自身业务和供应链不存在现代奴役而采取的行动。虽然该法主要约束英国本土企业，但在实践中，医疗器械制造商作为供应链的一环，常被要求签署社会责任承诺函，明确禁止任何形式的现代奴役。英国议会联合人权委员会的报告指出，该法在防止强迫劳动产品进入英国市场方面效果有限，并建议引入强迫劳动产品进口禁令，但截至2026年10月，该禁令尚未正式立法。需注意的是，英国国家医疗服务体系</w:t>
      </w:r>
      <w:r>
        <w:rPr>
          <w:rFonts w:hint="eastAsia" w:ascii="Times New Roman" w:hAnsi="Times New Roman"/>
          <w:sz w:val="28"/>
          <w:szCs w:val="28"/>
        </w:rPr>
        <w:t>（</w:t>
      </w:r>
      <w:r>
        <w:rPr>
          <w:rFonts w:ascii="Times New Roman" w:hAnsi="Times New Roman"/>
          <w:sz w:val="28"/>
          <w:szCs w:val="28"/>
        </w:rPr>
        <w:t>NHS</w:t>
      </w:r>
      <w:r>
        <w:rPr>
          <w:rFonts w:hint="eastAsia" w:ascii="Times New Roman" w:hAnsi="Times New Roman"/>
          <w:sz w:val="28"/>
          <w:szCs w:val="28"/>
        </w:rPr>
        <w:t>）</w:t>
      </w:r>
      <w:r>
        <w:rPr>
          <w:rFonts w:ascii="Times New Roman" w:hAnsi="Times New Roman"/>
          <w:sz w:val="28"/>
          <w:szCs w:val="28"/>
        </w:rPr>
        <w:t>采购中已将劳工标准纳入考量，存在劳工权利滥用风险的产品可能被排除在采购考虑之外。</w:t>
      </w:r>
    </w:p>
    <w:p w14:paraId="10704BAF">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贸易政策等其他需关注的情况</w:t>
      </w:r>
    </w:p>
    <w:p w14:paraId="486FB5FE">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英国脱欧后，其贸易政策独立于欧盟</w:t>
      </w:r>
      <w:r>
        <w:rPr>
          <w:rFonts w:hint="eastAsia" w:ascii="Times New Roman" w:hAnsi="Times New Roman"/>
          <w:sz w:val="28"/>
          <w:szCs w:val="28"/>
        </w:rPr>
        <w:t>，建立</w:t>
      </w:r>
      <w:r>
        <w:rPr>
          <w:rFonts w:ascii="Times New Roman" w:hAnsi="Times New Roman"/>
          <w:sz w:val="28"/>
          <w:szCs w:val="28"/>
        </w:rPr>
        <w:t>独立关税</w:t>
      </w:r>
      <w:r>
        <w:rPr>
          <w:rFonts w:hint="eastAsia" w:ascii="Times New Roman" w:hAnsi="Times New Roman"/>
          <w:sz w:val="28"/>
          <w:szCs w:val="28"/>
        </w:rPr>
        <w:t>体系</w:t>
      </w:r>
      <w:r>
        <w:rPr>
          <w:rFonts w:ascii="Times New Roman" w:hAnsi="Times New Roman"/>
          <w:sz w:val="28"/>
          <w:szCs w:val="28"/>
        </w:rPr>
        <w:t>（UK Global Tariff）。中英尚未签署自由贸易协定，中国产医疗器械无法享受关税优惠，按最惠国税率征收，出口时需提供一般原产地证书以适用相应税率。英国对中国医疗器械的贸易壁垒目前较为有限，但英国正在加强供应链安全审查。</w:t>
      </w:r>
    </w:p>
    <w:p w14:paraId="093C038D">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公共采购壁垒方面，英国的公共采购受《2023年采购法》（Procurement Act 2023） 约束</w:t>
      </w:r>
      <w:r>
        <w:rPr>
          <w:rFonts w:hint="eastAsia" w:ascii="Times New Roman" w:hAnsi="Times New Roman"/>
          <w:sz w:val="28"/>
          <w:szCs w:val="28"/>
        </w:rPr>
        <w:t>，</w:t>
      </w:r>
      <w:r>
        <w:rPr>
          <w:rFonts w:ascii="Times New Roman" w:hAnsi="Times New Roman"/>
          <w:sz w:val="28"/>
          <w:szCs w:val="28"/>
        </w:rPr>
        <w:t>环保、供应链合规、社会贡献等非价格因素在采购评审中的权重显著提升，可能对某些医疗器械的公共采购产生影响。英国国家医疗服务体系（NHS）是医疗器械最大的采购方，采购政策优先支持英国本土企业，对境外供应商设置更严格的资质要求、供应链标准与社会价值考核。</w:t>
      </w:r>
    </w:p>
    <w:p w14:paraId="02C2EDF4">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贸易救济风险方面，英国脱欧后拥有独立的贸易救济调查权，可针对进口产品发起反倾销、反补贴调查，针对部分低值医疗器械品类存在实施贸易救济措施的可能性，企业需关注相关贸易政策动态。</w:t>
      </w:r>
    </w:p>
    <w:p w14:paraId="34667573">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英国与中国的贸易关系在脱欧后总体稳定，但英国在供应链多元化方面的政策倾向可能对长期贸易格局产生影响</w:t>
      </w:r>
      <w:r>
        <w:rPr>
          <w:rFonts w:hint="eastAsia" w:ascii="Times New Roman" w:hAnsi="Times New Roman"/>
          <w:sz w:val="28"/>
          <w:szCs w:val="28"/>
        </w:rPr>
        <w:t>。</w:t>
      </w:r>
    </w:p>
    <w:p w14:paraId="2EDA2267">
      <w:pPr>
        <w:pStyle w:val="26"/>
        <w:numPr>
          <w:ilvl w:val="1"/>
          <w:numId w:val="1"/>
        </w:numPr>
        <w:spacing w:before="120" w:beforeLines="50" w:after="120" w:afterLines="50" w:line="360" w:lineRule="auto"/>
        <w:jc w:val="center"/>
        <w:rPr>
          <w:rFonts w:ascii="Times New Roman" w:hAnsi="Times New Roman"/>
          <w:b/>
          <w:bCs/>
          <w:sz w:val="28"/>
          <w:szCs w:val="28"/>
          <w:lang w:val="en-GB"/>
        </w:rPr>
      </w:pPr>
      <w:r>
        <w:rPr>
          <w:rFonts w:hint="eastAsia" w:ascii="Times New Roman" w:hAnsi="Times New Roman"/>
          <w:b/>
          <w:bCs/>
          <w:sz w:val="28"/>
          <w:szCs w:val="28"/>
          <w:lang w:val="en-GB"/>
        </w:rPr>
        <w:t xml:space="preserve"> 东南亚地区</w:t>
      </w:r>
    </w:p>
    <w:p w14:paraId="016699F8">
      <w:pPr>
        <w:pStyle w:val="26"/>
        <w:numPr>
          <w:ilvl w:val="2"/>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东盟通用规则</w:t>
      </w:r>
    </w:p>
    <w:p w14:paraId="37461829">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东南亚国家联盟（Association of Southeast Asian Nations，简称东盟 / ASEAN）是依据 1967 年《曼谷宣言》成立的政府间区域组织，东盟采取政府间合作模式，东盟首脑会议和部长级会议的决定对成员国不具有直接强制执行力。东盟目前共有 11 个成员国，</w:t>
      </w:r>
      <w:r>
        <w:rPr>
          <w:rFonts w:hint="eastAsia" w:ascii="Times New Roman" w:hAnsi="Times New Roman"/>
          <w:sz w:val="28"/>
          <w:szCs w:val="28"/>
          <w:lang w:val="en-GB"/>
        </w:rPr>
        <w:t>包括</w:t>
      </w:r>
      <w:r>
        <w:rPr>
          <w:rFonts w:ascii="Times New Roman" w:hAnsi="Times New Roman"/>
          <w:sz w:val="28"/>
          <w:szCs w:val="28"/>
          <w:lang w:val="en-GB"/>
        </w:rPr>
        <w:t>泰国、马来西亚、新加坡、菲律宾</w:t>
      </w:r>
      <w:r>
        <w:rPr>
          <w:rFonts w:hint="eastAsia" w:ascii="Times New Roman" w:hAnsi="Times New Roman"/>
          <w:sz w:val="28"/>
          <w:szCs w:val="28"/>
          <w:lang w:val="en-GB"/>
        </w:rPr>
        <w:t>、</w:t>
      </w:r>
      <w:r>
        <w:rPr>
          <w:rFonts w:ascii="Times New Roman" w:hAnsi="Times New Roman"/>
          <w:sz w:val="28"/>
          <w:szCs w:val="28"/>
          <w:lang w:val="en-GB"/>
        </w:rPr>
        <w:t>印度尼西亚</w:t>
      </w:r>
      <w:r>
        <w:rPr>
          <w:rFonts w:hint="eastAsia" w:ascii="Times New Roman" w:hAnsi="Times New Roman"/>
          <w:sz w:val="28"/>
          <w:szCs w:val="28"/>
          <w:lang w:val="en-GB"/>
        </w:rPr>
        <w:t>、</w:t>
      </w:r>
      <w:r>
        <w:rPr>
          <w:rFonts w:ascii="Times New Roman" w:hAnsi="Times New Roman"/>
          <w:sz w:val="28"/>
          <w:szCs w:val="28"/>
          <w:lang w:val="en-GB"/>
        </w:rPr>
        <w:t>文莱、柬埔寨、老挝、缅甸、越南和东帝汶</w:t>
      </w:r>
      <w:r>
        <w:rPr>
          <w:rFonts w:hint="eastAsia" w:ascii="Times New Roman" w:hAnsi="Times New Roman"/>
          <w:sz w:val="28"/>
          <w:szCs w:val="28"/>
          <w:lang w:val="en-GB"/>
        </w:rPr>
        <w:t>。东盟的</w:t>
      </w:r>
      <w:r>
        <w:rPr>
          <w:rFonts w:ascii="Times New Roman" w:hAnsi="Times New Roman"/>
          <w:sz w:val="28"/>
          <w:szCs w:val="28"/>
          <w:lang w:val="en-GB"/>
        </w:rPr>
        <w:t>核心宗旨是推动区域经济一体化、削减贸易技术壁垒、促进社会发展与地区和平稳定，医疗器械是东盟优先推进监管协调的重点产业领域</w:t>
      </w:r>
      <w:r>
        <w:rPr>
          <w:rFonts w:hint="eastAsia" w:ascii="Times New Roman" w:hAnsi="Times New Roman"/>
          <w:sz w:val="28"/>
          <w:szCs w:val="28"/>
          <w:lang w:val="en-GB"/>
        </w:rPr>
        <w:t>。</w:t>
      </w:r>
    </w:p>
    <w:p w14:paraId="582D7CAF">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《东盟医疗器械指令》（ASEAN Agreement on Medical Device Directive，简称</w:t>
      </w:r>
      <w:r>
        <w:rPr>
          <w:rFonts w:hint="eastAsia" w:ascii="Times New Roman" w:hAnsi="Times New Roman"/>
          <w:sz w:val="28"/>
          <w:szCs w:val="28"/>
          <w:lang w:val="en-GB"/>
        </w:rPr>
        <w:t>“</w:t>
      </w:r>
      <w:r>
        <w:rPr>
          <w:rFonts w:ascii="Times New Roman" w:hAnsi="Times New Roman"/>
          <w:sz w:val="28"/>
          <w:szCs w:val="28"/>
          <w:lang w:val="en-GB"/>
        </w:rPr>
        <w:t>AMDD</w:t>
      </w:r>
      <w:r>
        <w:rPr>
          <w:rFonts w:hint="eastAsia" w:ascii="Times New Roman" w:hAnsi="Times New Roman"/>
          <w:sz w:val="28"/>
          <w:szCs w:val="28"/>
          <w:lang w:val="en-GB"/>
        </w:rPr>
        <w:t>”</w:t>
      </w:r>
      <w:r>
        <w:rPr>
          <w:rFonts w:ascii="Times New Roman" w:hAnsi="Times New Roman"/>
          <w:sz w:val="28"/>
          <w:szCs w:val="28"/>
          <w:lang w:val="en-GB"/>
        </w:rPr>
        <w:t>）是东盟成员国之间签署的区域监管协调协议，于 2014 年 11 月 21 日由东盟经济部长正式签署，2015 年 1 月 1 日起对完成国内批准或接受程序的成员国正式生效。与欧盟 MDR 这类直接在成员国境内生效的超国家法律不同，AMDD 本质上是一套统一的监管框架指引，本身不直接具备各国国内法效力，需要各成员国通过立法程序将其转化为本国法律法规后落地实施。</w:t>
      </w:r>
      <w:r>
        <w:rPr>
          <w:rFonts w:hint="eastAsia" w:ascii="Times New Roman" w:hAnsi="Times New Roman"/>
          <w:sz w:val="28"/>
          <w:szCs w:val="28"/>
          <w:lang w:val="en-GB"/>
        </w:rPr>
        <w:t>各成员国对AMDD的转化</w:t>
      </w:r>
      <w:r>
        <w:rPr>
          <w:rFonts w:ascii="Times New Roman" w:hAnsi="Times New Roman"/>
          <w:sz w:val="28"/>
          <w:szCs w:val="28"/>
          <w:lang w:val="en-GB"/>
        </w:rPr>
        <w:t>进度并不一致。</w:t>
      </w:r>
    </w:p>
    <w:p w14:paraId="17E601ED">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AMDD 的核心</w:t>
      </w:r>
      <w:r>
        <w:rPr>
          <w:rFonts w:hint="eastAsia" w:ascii="Times New Roman" w:hAnsi="Times New Roman"/>
          <w:sz w:val="28"/>
          <w:szCs w:val="28"/>
          <w:lang w:val="en-GB"/>
        </w:rPr>
        <w:t>内容</w:t>
      </w:r>
      <w:r>
        <w:rPr>
          <w:rFonts w:ascii="Times New Roman" w:hAnsi="Times New Roman"/>
          <w:sz w:val="28"/>
          <w:szCs w:val="28"/>
          <w:lang w:val="en-GB"/>
        </w:rPr>
        <w:t>覆盖医疗器械全生命周期</w:t>
      </w:r>
      <w:r>
        <w:rPr>
          <w:rFonts w:hint="eastAsia" w:ascii="Times New Roman" w:hAnsi="Times New Roman"/>
          <w:sz w:val="28"/>
          <w:szCs w:val="28"/>
          <w:lang w:val="en-GB"/>
        </w:rPr>
        <w:t>，</w:t>
      </w:r>
      <w:r>
        <w:rPr>
          <w:rFonts w:ascii="Times New Roman" w:hAnsi="Times New Roman"/>
          <w:sz w:val="28"/>
          <w:szCs w:val="28"/>
          <w:lang w:val="en-GB"/>
        </w:rPr>
        <w:t>旨在为成员国提供统一的监管框架基础</w:t>
      </w:r>
      <w:r>
        <w:rPr>
          <w:rFonts w:hint="eastAsia" w:ascii="Times New Roman" w:hAnsi="Times New Roman"/>
          <w:sz w:val="28"/>
          <w:szCs w:val="28"/>
          <w:lang w:val="en-GB"/>
        </w:rPr>
        <w:t>。AMDD提出了</w:t>
      </w:r>
      <w:r>
        <w:rPr>
          <w:rFonts w:ascii="Times New Roman" w:hAnsi="Times New Roman"/>
          <w:sz w:val="28"/>
          <w:szCs w:val="28"/>
          <w:lang w:val="en-GB"/>
        </w:rPr>
        <w:t>基于风险的四级分类体系</w:t>
      </w:r>
      <w:r>
        <w:rPr>
          <w:rFonts w:hint="eastAsia" w:ascii="Times New Roman" w:hAnsi="Times New Roman"/>
          <w:sz w:val="28"/>
          <w:szCs w:val="28"/>
          <w:lang w:val="en-GB"/>
        </w:rPr>
        <w:t>，</w:t>
      </w:r>
      <w:r>
        <w:rPr>
          <w:rFonts w:ascii="Times New Roman" w:hAnsi="Times New Roman"/>
          <w:sz w:val="28"/>
          <w:szCs w:val="28"/>
          <w:lang w:val="en-GB"/>
        </w:rPr>
        <w:t>将医疗器械分为Class A（低风险）、Class B（低至中风险）、Class C（中至高风险）、Class D（高风险）。</w:t>
      </w:r>
      <w:r>
        <w:rPr>
          <w:rFonts w:hint="eastAsia" w:ascii="Times New Roman" w:hAnsi="Times New Roman"/>
          <w:sz w:val="28"/>
          <w:szCs w:val="28"/>
          <w:lang w:val="en-GB"/>
        </w:rPr>
        <w:t>AMDD</w:t>
      </w:r>
      <w:r>
        <w:rPr>
          <w:rFonts w:ascii="Times New Roman" w:hAnsi="Times New Roman"/>
          <w:sz w:val="28"/>
          <w:szCs w:val="28"/>
          <w:lang w:val="en-GB"/>
        </w:rPr>
        <w:t>制定了通用提交档案模板（CSDT），这是AMDD最具实践价值的工具。CSDT为注册申报文件提供了标准化格式，涵盖器械描述、设计验证、临床证据、标签等章节。企业可以准备一套CSDT主文件，再针对各国要求添加国别附录，而不必从零开始为每个国家重新编写技术文档。</w:t>
      </w:r>
      <w:r>
        <w:rPr>
          <w:rFonts w:hint="eastAsia" w:ascii="Times New Roman" w:hAnsi="Times New Roman"/>
          <w:sz w:val="28"/>
          <w:szCs w:val="28"/>
          <w:lang w:val="en-GB"/>
        </w:rPr>
        <w:t>AMDD</w:t>
      </w:r>
      <w:r>
        <w:rPr>
          <w:rFonts w:ascii="Times New Roman" w:hAnsi="Times New Roman"/>
          <w:sz w:val="28"/>
          <w:szCs w:val="28"/>
          <w:lang w:val="en-GB"/>
        </w:rPr>
        <w:t>确立了医疗器械安全与性能的基本原则</w:t>
      </w:r>
      <w:r>
        <w:rPr>
          <w:rFonts w:hint="eastAsia" w:ascii="Times New Roman" w:hAnsi="Times New Roman"/>
          <w:sz w:val="28"/>
          <w:szCs w:val="28"/>
          <w:lang w:val="en-GB"/>
        </w:rPr>
        <w:t>，</w:t>
      </w:r>
      <w:r>
        <w:rPr>
          <w:rFonts w:ascii="Times New Roman" w:hAnsi="Times New Roman"/>
          <w:sz w:val="28"/>
          <w:szCs w:val="28"/>
          <w:lang w:val="en-GB"/>
        </w:rPr>
        <w:t>要求产品符合通用安全标准与设计制造规范，对齐国际医疗器械监管者论坛（IMDRF）的通用准则</w:t>
      </w:r>
      <w:r>
        <w:rPr>
          <w:rFonts w:hint="eastAsia" w:ascii="Times New Roman" w:hAnsi="Times New Roman"/>
          <w:sz w:val="28"/>
          <w:szCs w:val="28"/>
          <w:lang w:val="en-GB"/>
        </w:rPr>
        <w:t>，</w:t>
      </w:r>
      <w:r>
        <w:rPr>
          <w:rFonts w:ascii="Times New Roman" w:hAnsi="Times New Roman"/>
          <w:sz w:val="28"/>
          <w:szCs w:val="28"/>
          <w:lang w:val="en-GB"/>
        </w:rPr>
        <w:t>企业须通过符合性声明（Declaration of Conformity）来证明其产品符合这些原则。</w:t>
      </w:r>
      <w:r>
        <w:rPr>
          <w:rFonts w:hint="eastAsia" w:ascii="Times New Roman" w:hAnsi="Times New Roman"/>
          <w:sz w:val="28"/>
          <w:szCs w:val="28"/>
          <w:lang w:val="en-GB"/>
        </w:rPr>
        <w:t>AMDD</w:t>
      </w:r>
      <w:r>
        <w:rPr>
          <w:rFonts w:ascii="Times New Roman" w:hAnsi="Times New Roman"/>
          <w:sz w:val="28"/>
          <w:szCs w:val="28"/>
          <w:lang w:val="en-GB"/>
        </w:rPr>
        <w:t>搭建了上市后监督的统一框架，要求成员国采取一切必要措施，建立上市后警报系统（PMAS）。PMAS的具体操作要求规定于AMDD附件5，涵盖四项核心要素：进口和/或分销记录、投诉记录、不良事件报告标准和报告格式、现场安全纠正措施（FSCA）报告格式。各成员国通过国内立法将上述框架转化为对企业的具体强制要求。</w:t>
      </w:r>
      <w:r>
        <w:rPr>
          <w:rFonts w:hint="eastAsia" w:ascii="Times New Roman" w:hAnsi="Times New Roman"/>
          <w:sz w:val="28"/>
          <w:szCs w:val="28"/>
          <w:lang w:val="en-GB"/>
        </w:rPr>
        <w:t>AMDD同时</w:t>
      </w:r>
      <w:r>
        <w:rPr>
          <w:rFonts w:ascii="Times New Roman" w:hAnsi="Times New Roman"/>
          <w:sz w:val="28"/>
          <w:szCs w:val="28"/>
          <w:lang w:val="en-GB"/>
        </w:rPr>
        <w:t>赋予成员国基于公共健康保护、本国监管实际补充规则的自主权，各国可在符合指令基本原则的前提下增设额外监管条件。</w:t>
      </w:r>
    </w:p>
    <w:p w14:paraId="602D4446">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AMDD 的出台</w:t>
      </w:r>
      <w:r>
        <w:rPr>
          <w:rFonts w:hint="eastAsia" w:ascii="Times New Roman" w:hAnsi="Times New Roman"/>
          <w:sz w:val="28"/>
          <w:szCs w:val="28"/>
          <w:lang w:val="en-GB"/>
        </w:rPr>
        <w:t>的实际意义是实现了注册申报材料的统一性，</w:t>
      </w:r>
      <w:r>
        <w:rPr>
          <w:rFonts w:ascii="Times New Roman" w:hAnsi="Times New Roman"/>
          <w:sz w:val="28"/>
          <w:szCs w:val="28"/>
          <w:lang w:val="en-GB"/>
        </w:rPr>
        <w:t>在CSDT框架下</w:t>
      </w:r>
      <w:r>
        <w:rPr>
          <w:rFonts w:hint="eastAsia" w:ascii="Times New Roman" w:hAnsi="Times New Roman"/>
          <w:sz w:val="28"/>
          <w:szCs w:val="28"/>
          <w:lang w:val="en-GB"/>
        </w:rPr>
        <w:t>企业可</w:t>
      </w:r>
      <w:r>
        <w:rPr>
          <w:rFonts w:ascii="Times New Roman" w:hAnsi="Times New Roman"/>
          <w:sz w:val="28"/>
          <w:szCs w:val="28"/>
          <w:lang w:val="en-GB"/>
        </w:rPr>
        <w:t>形成一套主文件，各国申报时仅需补充国别附录。AMDD 并未赋予区域机构凌驾于各国之上的监管权，没有创建任何形式的单一审批流程</w:t>
      </w:r>
      <w:r>
        <w:rPr>
          <w:rFonts w:hint="eastAsia" w:ascii="Times New Roman" w:hAnsi="Times New Roman"/>
          <w:sz w:val="28"/>
          <w:szCs w:val="28"/>
          <w:lang w:val="en-GB"/>
        </w:rPr>
        <w:t>，</w:t>
      </w:r>
      <w:r>
        <w:rPr>
          <w:rFonts w:ascii="Times New Roman" w:hAnsi="Times New Roman"/>
          <w:sz w:val="28"/>
          <w:szCs w:val="28"/>
          <w:lang w:val="en-GB"/>
        </w:rPr>
        <w:t>各国均保留完全独立的产品注册审批权，一国获批的产品</w:t>
      </w:r>
      <w:r>
        <w:rPr>
          <w:rFonts w:hint="eastAsia" w:ascii="Times New Roman" w:hAnsi="Times New Roman"/>
          <w:sz w:val="28"/>
          <w:szCs w:val="28"/>
          <w:lang w:val="en-GB"/>
        </w:rPr>
        <w:t xml:space="preserve"> 并</w:t>
      </w:r>
      <w:r>
        <w:rPr>
          <w:rFonts w:ascii="Times New Roman" w:hAnsi="Times New Roman"/>
          <w:sz w:val="28"/>
          <w:szCs w:val="28"/>
          <w:lang w:val="en-GB"/>
        </w:rPr>
        <w:t>不能</w:t>
      </w:r>
      <w:r>
        <w:rPr>
          <w:rFonts w:hint="eastAsia" w:ascii="Times New Roman" w:hAnsi="Times New Roman"/>
          <w:sz w:val="28"/>
          <w:szCs w:val="28"/>
          <w:lang w:val="en-GB"/>
        </w:rPr>
        <w:t>豁免另一成员国的准入程序。并且，在产品准入</w:t>
      </w:r>
      <w:r>
        <w:rPr>
          <w:rFonts w:ascii="Times New Roman" w:hAnsi="Times New Roman"/>
          <w:sz w:val="28"/>
          <w:szCs w:val="28"/>
          <w:lang w:val="en-GB"/>
        </w:rPr>
        <w:t>审评</w:t>
      </w:r>
      <w:r>
        <w:rPr>
          <w:rFonts w:hint="eastAsia" w:ascii="Times New Roman" w:hAnsi="Times New Roman"/>
          <w:sz w:val="28"/>
          <w:szCs w:val="28"/>
          <w:lang w:val="en-GB"/>
        </w:rPr>
        <w:t>流程、</w:t>
      </w:r>
      <w:r>
        <w:rPr>
          <w:rFonts w:ascii="Times New Roman" w:hAnsi="Times New Roman"/>
          <w:sz w:val="28"/>
          <w:szCs w:val="28"/>
          <w:lang w:val="en-GB"/>
        </w:rPr>
        <w:t>时限、费用标准、标签说明书的语言与格式要求</w:t>
      </w:r>
      <w:r>
        <w:rPr>
          <w:rFonts w:hint="eastAsia" w:ascii="Times New Roman" w:hAnsi="Times New Roman"/>
          <w:sz w:val="28"/>
          <w:szCs w:val="28"/>
          <w:lang w:val="en-GB"/>
        </w:rPr>
        <w:t>、</w:t>
      </w:r>
      <w:r>
        <w:rPr>
          <w:rFonts w:ascii="Times New Roman" w:hAnsi="Times New Roman"/>
          <w:sz w:val="28"/>
          <w:szCs w:val="28"/>
          <w:lang w:val="en-GB"/>
        </w:rPr>
        <w:t>本地实体要求、上市后系统和经营许可</w:t>
      </w:r>
      <w:r>
        <w:rPr>
          <w:rFonts w:hint="eastAsia" w:ascii="Times New Roman" w:hAnsi="Times New Roman"/>
          <w:sz w:val="28"/>
          <w:szCs w:val="28"/>
          <w:lang w:val="en-GB"/>
        </w:rPr>
        <w:t>等方面，</w:t>
      </w:r>
      <w:r>
        <w:rPr>
          <w:rFonts w:ascii="Times New Roman" w:hAnsi="Times New Roman"/>
          <w:sz w:val="28"/>
          <w:szCs w:val="28"/>
          <w:lang w:val="en-GB"/>
        </w:rPr>
        <w:t>各国独立规则仍然占据主导地位。</w:t>
      </w:r>
    </w:p>
    <w:p w14:paraId="74544528">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整体而言，AMDD 为东盟医疗器械监管搭建了统一的规则框架，但监管执行的具体细则仍由各国自主填充，区域监管一体化目前仍处于</w:t>
      </w:r>
      <w:r>
        <w:rPr>
          <w:rFonts w:hint="eastAsia" w:ascii="Times New Roman" w:hAnsi="Times New Roman"/>
          <w:sz w:val="28"/>
          <w:szCs w:val="28"/>
          <w:lang w:val="en-GB"/>
        </w:rPr>
        <w:t>“</w:t>
      </w:r>
      <w:r>
        <w:rPr>
          <w:rFonts w:ascii="Times New Roman" w:hAnsi="Times New Roman"/>
          <w:sz w:val="28"/>
          <w:szCs w:val="28"/>
          <w:lang w:val="en-GB"/>
        </w:rPr>
        <w:t>框架统一、执行分治、逐步推进双边互认</w:t>
      </w:r>
      <w:r>
        <w:rPr>
          <w:rFonts w:hint="eastAsia" w:ascii="Times New Roman" w:hAnsi="Times New Roman"/>
          <w:sz w:val="28"/>
          <w:szCs w:val="28"/>
          <w:lang w:val="en-GB"/>
        </w:rPr>
        <w:t>”</w:t>
      </w:r>
      <w:r>
        <w:rPr>
          <w:rFonts w:ascii="Times New Roman" w:hAnsi="Times New Roman"/>
          <w:sz w:val="28"/>
          <w:szCs w:val="28"/>
          <w:lang w:val="en-GB"/>
        </w:rPr>
        <w:t>的发展阶段。</w:t>
      </w:r>
    </w:p>
    <w:p w14:paraId="64152B40">
      <w:pPr>
        <w:pStyle w:val="26"/>
        <w:numPr>
          <w:ilvl w:val="2"/>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印度尼西亚</w:t>
      </w:r>
    </w:p>
    <w:p w14:paraId="6A203D0F">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印度尼西亚是东盟内部较早完成《东盟医疗器械指令》（AMDD）国内转化的核心成员国，2018 年正式批准 AMDD，通过系列立法将其核心规则全面落地为本国监管要求。在</w:t>
      </w:r>
      <w:r>
        <w:rPr>
          <w:rFonts w:hint="eastAsia" w:ascii="Times New Roman" w:hAnsi="Times New Roman"/>
          <w:sz w:val="28"/>
          <w:szCs w:val="28"/>
        </w:rPr>
        <w:t>医疗器械监管</w:t>
      </w:r>
      <w:r>
        <w:rPr>
          <w:rFonts w:ascii="Times New Roman" w:hAnsi="Times New Roman"/>
          <w:sz w:val="28"/>
          <w:szCs w:val="28"/>
        </w:rPr>
        <w:t>法律体系上，印尼医疗器械监管的顶层依据为2023年第17号《卫生法》（Undang-Undang No. 17 Tahun 2023）</w:t>
      </w:r>
      <w:r>
        <w:rPr>
          <w:rFonts w:hint="eastAsia" w:ascii="Times New Roman" w:hAnsi="Times New Roman"/>
          <w:sz w:val="28"/>
          <w:szCs w:val="28"/>
        </w:rPr>
        <w:t>，</w:t>
      </w:r>
      <w:r>
        <w:rPr>
          <w:rFonts w:ascii="Times New Roman" w:hAnsi="Times New Roman"/>
          <w:sz w:val="28"/>
          <w:szCs w:val="28"/>
        </w:rPr>
        <w:t>其核心实施条例为2024年第28号政府条例</w:t>
      </w:r>
      <w:r>
        <w:rPr>
          <w:rFonts w:hint="eastAsia" w:ascii="Times New Roman" w:hAnsi="Times New Roman"/>
          <w:sz w:val="28"/>
          <w:szCs w:val="28"/>
        </w:rPr>
        <w:t>（</w:t>
      </w:r>
      <w:r>
        <w:rPr>
          <w:rFonts w:ascii="Times New Roman" w:hAnsi="Times New Roman"/>
          <w:sz w:val="28"/>
          <w:szCs w:val="28"/>
        </w:rPr>
        <w:t>Peraturan Pemerintah No. 28 Tahun 2024</w:t>
      </w:r>
      <w:r>
        <w:rPr>
          <w:rFonts w:hint="eastAsia" w:ascii="Times New Roman" w:hAnsi="Times New Roman"/>
          <w:sz w:val="28"/>
          <w:szCs w:val="28"/>
        </w:rPr>
        <w:t>）</w:t>
      </w:r>
      <w:r>
        <w:rPr>
          <w:rFonts w:ascii="Times New Roman" w:hAnsi="Times New Roman"/>
          <w:sz w:val="28"/>
          <w:szCs w:val="28"/>
        </w:rPr>
        <w:t>，已于2024年7月26日生效，细化了医疗器械监管的具体制度、主体权责与管理要求。在部级法规层面</w:t>
      </w:r>
      <w:r>
        <w:rPr>
          <w:rFonts w:hint="eastAsia" w:ascii="Times New Roman" w:hAnsi="Times New Roman"/>
          <w:sz w:val="28"/>
          <w:szCs w:val="28"/>
        </w:rPr>
        <w:t>，</w:t>
      </w:r>
      <w:r>
        <w:rPr>
          <w:rFonts w:ascii="Times New Roman" w:hAnsi="Times New Roman"/>
          <w:sz w:val="28"/>
          <w:szCs w:val="28"/>
        </w:rPr>
        <w:t>现行有效的核心执行规则为 2025 年卫生部第 11 号条例（Permenkes No. 11 Tahun 2025），该条例更新了医疗器械注册审评流程、时限与管理要求，将注册体系纳入印尼风险导向的商业许可（OSS-RBA）框架，全面落实 AMDD 的分级监管要求。</w:t>
      </w:r>
    </w:p>
    <w:p w14:paraId="03356608">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印尼常规医疗器械的全生命周期监管统一由卫生部（Kementerian Kesehatan, Kemenkes）主导，具体执行部门为下属的药品与医疗器械总司（Ditjen Kefarmasian dan Alat Kesehatan）</w:t>
      </w:r>
      <w:r>
        <w:rPr>
          <w:rFonts w:hint="eastAsia" w:ascii="Times New Roman" w:hAnsi="Times New Roman"/>
          <w:sz w:val="28"/>
          <w:szCs w:val="28"/>
        </w:rPr>
        <w:t>。</w:t>
      </w:r>
      <w:r>
        <w:rPr>
          <w:rFonts w:ascii="Times New Roman" w:hAnsi="Times New Roman"/>
          <w:sz w:val="28"/>
          <w:szCs w:val="28"/>
        </w:rPr>
        <w:t>产品注册证（Izin Edar/NIE）由卫生部核发，注册申报通过Regalkes在线平台统一提交。CDAKB认证、E-Watch不良事件报告系统、E-Report分销记录系统均由卫生部管理。</w:t>
      </w:r>
    </w:p>
    <w:p w14:paraId="2A3B89E5">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上市准入合规</w:t>
      </w:r>
    </w:p>
    <w:p w14:paraId="7D43DD1B">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印尼医疗器械上市准入严格遵循 AMDD 的风险分级管理逻辑，采用A/B/C/D四级分类。A 类低风险产品实行备案制，仅需提交基础技术文件，形式审查周期 3-6 个月；B 类中低风险产品需提交完整的 CSDT 格式技术文档，涵盖风险管理报告（符合 ISO 14971 标准）、设计验证确认资料、临床评价报告、ISO 13485 质量体系认证等内容，技术审评周期 6-10 个月；C 类中高风险产品需接受全面技术审评，部分品类需补充性能验证数据，审评周期 8-14 个月，必要时监管部门可启动境外生产场地现场核查；D 类高风险植入类、有源诊疗设备审评最为严格，除完整技术档案外，部分产品需补充开展本地临床试验，整体周期 12-18 个月。除通用技术文件外，所有标签与使用说明书必须为完整的印尼语，含动物源性材料的产品需按进度满足清真认证要求</w:t>
      </w:r>
      <w:r>
        <w:rPr>
          <w:rFonts w:hint="eastAsia" w:ascii="Times New Roman" w:hAnsi="Times New Roman"/>
          <w:sz w:val="28"/>
          <w:szCs w:val="28"/>
        </w:rPr>
        <w:t>。</w:t>
      </w:r>
      <w:r>
        <w:rPr>
          <w:rFonts w:ascii="Times New Roman" w:hAnsi="Times New Roman"/>
          <w:sz w:val="28"/>
          <w:szCs w:val="28"/>
        </w:rPr>
        <w:t>SNI（印尼国家标准）认证在部分医疗器械品类中属于强制要求，2025年已将医疗器械新增高复杂度产品至强制清单。</w:t>
      </w:r>
    </w:p>
    <w:p w14:paraId="0806241B">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印尼设置有注册证本地持有制度。</w:t>
      </w:r>
      <w:r>
        <w:rPr>
          <w:rFonts w:ascii="Times New Roman" w:hAnsi="Times New Roman"/>
          <w:sz w:val="28"/>
          <w:szCs w:val="28"/>
        </w:rPr>
        <w:t>根据印尼卫生部规定，进口医疗器械的注册证书（NIE）必须由印尼本地企业持有，境外制造商不得直接向印尼监管部门提交注册申请，必须指定一家印尼本土具备合法资质的实体作为授权代表与持证商，由其作为注册申请人完成申报流程，且双方签署的授权委托书必须经印尼驻华使馆完成双认证。这一本地企业可以是外国制造商在印尼设立的子公司，也可以是本地授权分销商</w:t>
      </w:r>
      <w:r>
        <w:rPr>
          <w:rFonts w:hint="eastAsia" w:ascii="Times New Roman" w:hAnsi="Times New Roman"/>
          <w:sz w:val="28"/>
          <w:szCs w:val="28"/>
        </w:rPr>
        <w:t>。</w:t>
      </w:r>
      <w:r>
        <w:rPr>
          <w:rFonts w:ascii="Times New Roman" w:hAnsi="Times New Roman"/>
          <w:sz w:val="28"/>
          <w:szCs w:val="28"/>
        </w:rPr>
        <w:t>本地企业须满足的资质条件</w:t>
      </w:r>
      <w:r>
        <w:rPr>
          <w:rFonts w:hint="eastAsia" w:ascii="Times New Roman" w:hAnsi="Times New Roman"/>
          <w:sz w:val="28"/>
          <w:szCs w:val="28"/>
        </w:rPr>
        <w:t>包括：</w:t>
      </w:r>
      <w:r>
        <w:rPr>
          <w:rFonts w:ascii="Times New Roman" w:hAnsi="Times New Roman"/>
          <w:sz w:val="28"/>
          <w:szCs w:val="28"/>
        </w:rPr>
        <w:t>持有卫生部颁发的医疗器械分销许可证（IDAK）；持有CDAKB（良好分销规范）认证证书；在OSS系统完成营业识别号（NIB）注册，KBLI编码为46691（医疗器械批发贸易）</w:t>
      </w:r>
      <w:r>
        <w:rPr>
          <w:rFonts w:hint="eastAsia" w:ascii="Times New Roman" w:hAnsi="Times New Roman"/>
          <w:sz w:val="28"/>
          <w:szCs w:val="28"/>
        </w:rPr>
        <w:t>。</w:t>
      </w:r>
      <w:r>
        <w:rPr>
          <w:rFonts w:ascii="Times New Roman" w:hAnsi="Times New Roman"/>
          <w:sz w:val="28"/>
          <w:szCs w:val="28"/>
        </w:rPr>
        <w:t>在转让规则上，印尼卫生部并未绝对禁止注册证变更持有人，但仅在企业合并、分立、改制等法定特殊情形下，才会受理持有人变更申请并进行严格审评；普通商业场景下（如制造商更换合作分销商）无法直接过户注册证，需由新的本地主体重新提交完整注册申请，实操中等同于注册证不可商业转让。这一规则直接导致境外制造商面临二选一的选择：要么出资设立印尼本地子公司自行持证，承担对应的投资、运营与合规成本；要么将注册权与市场控制权让渡给本地分销商，深度绑定合作方。</w:t>
      </w:r>
    </w:p>
    <w:p w14:paraId="4925D488">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进口合规</w:t>
      </w:r>
    </w:p>
    <w:p w14:paraId="685CB236">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中国制造商向印尼出口医疗器械，必须由具备完整资质的印尼本地进口商作为法定申报主体，通过印尼财政部海关总署官方的 CEISA 4.0 系统提交进口申报，全程由本地进口商操作，中国境外制造商无法自行在 CEISA 系统中完成注册与申报。作为进口主体的印尼</w:t>
      </w:r>
      <w:r>
        <w:rPr>
          <w:rFonts w:hint="eastAsia" w:ascii="Times New Roman" w:hAnsi="Times New Roman"/>
          <w:sz w:val="28"/>
          <w:szCs w:val="28"/>
        </w:rPr>
        <w:t>企业</w:t>
      </w:r>
      <w:r>
        <w:rPr>
          <w:rFonts w:ascii="Times New Roman" w:hAnsi="Times New Roman"/>
          <w:sz w:val="28"/>
          <w:szCs w:val="28"/>
        </w:rPr>
        <w:t>需同时具备经营资质、医疗器械专项资质与海关备案资质三重要求</w:t>
      </w:r>
      <w:r>
        <w:rPr>
          <w:rFonts w:hint="eastAsia" w:ascii="Times New Roman" w:hAnsi="Times New Roman"/>
          <w:sz w:val="28"/>
          <w:szCs w:val="28"/>
        </w:rPr>
        <w:t>。</w:t>
      </w:r>
      <w:r>
        <w:rPr>
          <w:rFonts w:ascii="Times New Roman" w:hAnsi="Times New Roman"/>
          <w:sz w:val="28"/>
          <w:szCs w:val="28"/>
        </w:rPr>
        <w:t>企业须为印尼合法注册的法人实体，营业执照对应 KBLI 行业编码 46691（医疗器械批发贸易），经营范围覆盖拟进口产品品类</w:t>
      </w:r>
      <w:r>
        <w:rPr>
          <w:rFonts w:hint="eastAsia" w:ascii="Times New Roman" w:hAnsi="Times New Roman"/>
          <w:sz w:val="28"/>
          <w:szCs w:val="28"/>
        </w:rPr>
        <w:t>；</w:t>
      </w:r>
      <w:r>
        <w:rPr>
          <w:rFonts w:ascii="Times New Roman" w:hAnsi="Times New Roman"/>
          <w:sz w:val="28"/>
          <w:szCs w:val="28"/>
        </w:rPr>
        <w:t>须持有印尼卫生部颁发的 IDAK 医疗器械分销许可证；</w:t>
      </w:r>
      <w:r>
        <w:rPr>
          <w:rFonts w:hint="eastAsia" w:ascii="Times New Roman" w:hAnsi="Times New Roman"/>
          <w:sz w:val="28"/>
          <w:szCs w:val="28"/>
        </w:rPr>
        <w:t>须</w:t>
      </w:r>
      <w:r>
        <w:rPr>
          <w:rFonts w:ascii="Times New Roman" w:hAnsi="Times New Roman"/>
          <w:sz w:val="28"/>
          <w:szCs w:val="28"/>
        </w:rPr>
        <w:t>完成海关备案，取得 NIB 企业身份编号与对应进口权限，具备合规的货物进口经营资格，中国制造商仅能将产品销售给该类持证主体，不得直接向终端医疗机构或个人供货。</w:t>
      </w:r>
    </w:p>
    <w:p w14:paraId="2254B685">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医疗器械属于印尼 LARTAS（进口限制类）管制商品，产品上市许可是进口的法定前置条件，必须在申报时同步上传完整监管文件，不允许货物到港后补办。进口商通过 CEISA 4.0 系统提交进口货物申报单（PIB）时，需同步上传全套合规单证</w:t>
      </w:r>
      <w:r>
        <w:rPr>
          <w:rFonts w:hint="eastAsia" w:ascii="Times New Roman" w:hAnsi="Times New Roman"/>
          <w:sz w:val="28"/>
          <w:szCs w:val="28"/>
        </w:rPr>
        <w:t>。</w:t>
      </w:r>
      <w:r>
        <w:rPr>
          <w:rFonts w:ascii="Times New Roman" w:hAnsi="Times New Roman"/>
          <w:sz w:val="28"/>
          <w:szCs w:val="28"/>
        </w:rPr>
        <w:t>清关必备单证分为三类：一是基础商业单证，包括注明 CIF 价格的商业发票、明细装箱单、海运 / 空运提单、货物保险单；二是医疗器械专项监管单证，包括印尼卫生部颁发的产品上市注册证、</w:t>
      </w:r>
      <w:r>
        <w:rPr>
          <w:rFonts w:hint="eastAsia" w:ascii="Times New Roman" w:hAnsi="Times New Roman"/>
          <w:sz w:val="28"/>
          <w:szCs w:val="28"/>
        </w:rPr>
        <w:t>进口商自身的</w:t>
      </w:r>
      <w:r>
        <w:rPr>
          <w:rFonts w:ascii="Times New Roman" w:hAnsi="Times New Roman"/>
          <w:sz w:val="28"/>
          <w:szCs w:val="28"/>
        </w:rPr>
        <w:t>IDAK 分销许可证、中国出具的医疗器械出口销售证明、ISO 13485 认证证书、产品符合性声明，部分高风险产品还需补充批次放行证明；三是原产地单证，即 FORM E 原产地证书正本，用于申请优惠关税待遇。</w:t>
      </w:r>
    </w:p>
    <w:p w14:paraId="0323391F">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印尼海关是口岸清关环节的唯一执法主体，卫生部不参与海关现场查验工作，卫生部负责产品上市前的注册审评与分销资质管理，其核发的产品上市许可是海关准予进口的法定前提文件</w:t>
      </w:r>
      <w:r>
        <w:rPr>
          <w:rFonts w:hint="eastAsia" w:ascii="Times New Roman" w:hAnsi="Times New Roman"/>
          <w:sz w:val="28"/>
          <w:szCs w:val="28"/>
        </w:rPr>
        <w:t>。</w:t>
      </w:r>
      <w:r>
        <w:rPr>
          <w:rFonts w:ascii="Times New Roman" w:hAnsi="Times New Roman"/>
          <w:sz w:val="28"/>
          <w:szCs w:val="28"/>
        </w:rPr>
        <w:t>海关则独立完成口岸全流程执法，重点核验实物与申报单证的一致性、各类监管证件的真实性与有效期、产品是否属于禁止进口范畴，以及税则号归类与完税价格的准确性，其中 Class C、D 类中高风险医疗器械的开箱查验概率显著高于低风险产品，印尼明令禁止进口二手、翻新医疗器械，一经查实将直接作退运处理并处以对应罚款。</w:t>
      </w:r>
    </w:p>
    <w:p w14:paraId="455E8081">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上市后持续合规义务</w:t>
      </w:r>
    </w:p>
    <w:p w14:paraId="6868E45B">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印尼上市后监管由卫生部医疗器械和家庭保健用品监督局（PKRT</w:t>
      </w:r>
      <w:r>
        <w:rPr>
          <w:rFonts w:hint="eastAsia" w:ascii="Times New Roman" w:hAnsi="Times New Roman"/>
          <w:sz w:val="28"/>
          <w:szCs w:val="28"/>
        </w:rPr>
        <w:t>）</w:t>
      </w:r>
      <w:r>
        <w:rPr>
          <w:rFonts w:ascii="Times New Roman" w:hAnsi="Times New Roman"/>
          <w:sz w:val="28"/>
          <w:szCs w:val="28"/>
        </w:rPr>
        <w:t>负责管理</w:t>
      </w:r>
      <w:r>
        <w:rPr>
          <w:rFonts w:hint="eastAsia" w:ascii="Times New Roman" w:hAnsi="Times New Roman"/>
          <w:sz w:val="28"/>
          <w:szCs w:val="28"/>
        </w:rPr>
        <w:t>，具体包含四个监管维度</w:t>
      </w:r>
      <w:r>
        <w:rPr>
          <w:rFonts w:ascii="Times New Roman" w:hAnsi="Times New Roman"/>
          <w:sz w:val="28"/>
          <w:szCs w:val="28"/>
        </w:rPr>
        <w:t>。一是不良事件监测与警戒管理，通过官方 e-Watch Alat Kesehatan 系统统一受理不良事件（KTD）报告，要求持证商与制造商建立完整的上市后监督体系，制造商和进口商必须通过E-Watch系统报告意外事件和现场安全纠正措施（FSCA）</w:t>
      </w:r>
      <w:r>
        <w:rPr>
          <w:rFonts w:hint="eastAsia" w:ascii="Times New Roman" w:hAnsi="Times New Roman"/>
          <w:sz w:val="28"/>
          <w:szCs w:val="28"/>
        </w:rPr>
        <w:t>，</w:t>
      </w:r>
      <w:r>
        <w:rPr>
          <w:rFonts w:ascii="Times New Roman" w:hAnsi="Times New Roman"/>
          <w:sz w:val="28"/>
          <w:szCs w:val="28"/>
        </w:rPr>
        <w:t>报告时限根据事件严重程度分级</w:t>
      </w:r>
      <w:r>
        <w:rPr>
          <w:rFonts w:hint="eastAsia" w:ascii="Times New Roman" w:hAnsi="Times New Roman"/>
          <w:sz w:val="28"/>
          <w:szCs w:val="28"/>
        </w:rPr>
        <w:t>。</w:t>
      </w:r>
      <w:r>
        <w:rPr>
          <w:rFonts w:ascii="Times New Roman" w:hAnsi="Times New Roman"/>
          <w:sz w:val="28"/>
          <w:szCs w:val="28"/>
        </w:rPr>
        <w:t>二是产品追溯与缺陷召回管理，要求企业建立覆盖生产、进口、分销全链条的可追溯体系，完整保存批次与流向记录</w:t>
      </w:r>
      <w:r>
        <w:rPr>
          <w:rFonts w:hint="eastAsia" w:ascii="Times New Roman" w:hAnsi="Times New Roman"/>
          <w:sz w:val="28"/>
          <w:szCs w:val="28"/>
        </w:rPr>
        <w:t>。</w:t>
      </w:r>
      <w:r>
        <w:rPr>
          <w:rFonts w:ascii="Times New Roman" w:hAnsi="Times New Roman"/>
          <w:sz w:val="28"/>
          <w:szCs w:val="28"/>
        </w:rPr>
        <w:t>进口商和分销商必须通过E-Report系统提交分销记录，以确保在医疗器械召回时能够完全追踪产品去向。</w:t>
      </w:r>
      <w:r>
        <w:rPr>
          <w:rFonts w:hint="eastAsia" w:ascii="Times New Roman" w:hAnsi="Times New Roman"/>
          <w:sz w:val="28"/>
          <w:szCs w:val="28"/>
        </w:rPr>
        <w:t>三是市场稽查与现场检查，PKRT 局可对本地分销商仓储场地、市场流通终端开展例行或飞行检查，核查产品资质、标签标识、分销记录的合规性，同时对接海关开展口岸通关后的后续合规核查，定期对市场在售产品进行抽样检测，验证产品持续符合安全性能标准。四是年度合规报告与变更核查，受理企业每年提交的医疗器械年度报告，涵盖销售数据、不良事件统计、质量改进措施等内容；同时负责产品上市后微小变更的备案核查，监督重大变更履行注册审批程序。</w:t>
      </w:r>
    </w:p>
    <w:p w14:paraId="4B57440A">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经营合规</w:t>
      </w:r>
    </w:p>
    <w:p w14:paraId="604BBCE2">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在广告与宣传合规</w:t>
      </w:r>
      <w:r>
        <w:rPr>
          <w:rFonts w:hint="eastAsia" w:ascii="Times New Roman" w:hAnsi="Times New Roman"/>
          <w:sz w:val="28"/>
          <w:szCs w:val="28"/>
        </w:rPr>
        <w:t>方面</w:t>
      </w:r>
      <w:r>
        <w:rPr>
          <w:rFonts w:ascii="Times New Roman" w:hAnsi="Times New Roman"/>
          <w:sz w:val="28"/>
          <w:szCs w:val="28"/>
        </w:rPr>
        <w:t>，医疗器械发布广告前需取得卫生部的广告审批许可，获得批准文号后方可投放</w:t>
      </w:r>
      <w:r>
        <w:rPr>
          <w:rFonts w:hint="eastAsia" w:ascii="Times New Roman" w:hAnsi="Times New Roman"/>
          <w:sz w:val="28"/>
          <w:szCs w:val="28"/>
        </w:rPr>
        <w:t>。</w:t>
      </w:r>
      <w:r>
        <w:rPr>
          <w:rFonts w:ascii="Times New Roman" w:hAnsi="Times New Roman"/>
          <w:sz w:val="28"/>
          <w:szCs w:val="28"/>
        </w:rPr>
        <w:t>广告内容不得包含误导性信息、广告内容必须与注册的产品说明书完全一致，不得夸大疗效、隐瞒风险、不得利用消费者信任或制造恐惧。需要专业帮助或医生处方的医疗器械</w:t>
      </w:r>
      <w:r>
        <w:rPr>
          <w:rFonts w:hint="eastAsia" w:ascii="Times New Roman" w:hAnsi="Times New Roman"/>
          <w:sz w:val="28"/>
          <w:szCs w:val="28"/>
        </w:rPr>
        <w:t>，</w:t>
      </w:r>
      <w:r>
        <w:rPr>
          <w:rFonts w:ascii="Times New Roman" w:hAnsi="Times New Roman"/>
          <w:sz w:val="28"/>
          <w:szCs w:val="28"/>
        </w:rPr>
        <w:t>禁止在大众媒体发布广告，只能在医学和药学科学印刷媒体及专业医疗环境内的科学论坛中做广告。</w:t>
      </w:r>
    </w:p>
    <w:p w14:paraId="7BF140C1">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在反贿赂合规</w:t>
      </w:r>
      <w:r>
        <w:rPr>
          <w:rFonts w:hint="eastAsia" w:ascii="Times New Roman" w:hAnsi="Times New Roman"/>
          <w:sz w:val="28"/>
          <w:szCs w:val="28"/>
        </w:rPr>
        <w:t>方面</w:t>
      </w:r>
      <w:r>
        <w:rPr>
          <w:rFonts w:ascii="Times New Roman" w:hAnsi="Times New Roman"/>
          <w:sz w:val="28"/>
          <w:szCs w:val="28"/>
        </w:rPr>
        <w:t>，印尼以 1999 年第 31 号《腐败犯罪法》（经 2001 年第 20 号法律修订）为核心法律基础，辅以卫生部 2014 年第 14 号内部利益输送管控专项规定，严禁在产品注册、医院招投标、市场准入等全链条环节给予任何形式的回扣、礼品等不当利益。医疗器械行业被印尼反腐委员会（KPK）认定为腐败高风险领域，医疗器械及家庭健康用品</w:t>
      </w:r>
      <w:r>
        <w:rPr>
          <w:rFonts w:hint="eastAsia" w:ascii="Times New Roman" w:hAnsi="Times New Roman"/>
          <w:sz w:val="28"/>
          <w:szCs w:val="28"/>
        </w:rPr>
        <w:t>的</w:t>
      </w:r>
      <w:r>
        <w:rPr>
          <w:rFonts w:ascii="Times New Roman" w:hAnsi="Times New Roman"/>
          <w:sz w:val="28"/>
          <w:szCs w:val="28"/>
        </w:rPr>
        <w:t>经营许可申请</w:t>
      </w:r>
      <w:r>
        <w:rPr>
          <w:rFonts w:hint="eastAsia" w:ascii="Times New Roman" w:hAnsi="Times New Roman"/>
          <w:sz w:val="28"/>
          <w:szCs w:val="28"/>
        </w:rPr>
        <w:t>，</w:t>
      </w:r>
      <w:r>
        <w:rPr>
          <w:rFonts w:ascii="Times New Roman" w:hAnsi="Times New Roman"/>
          <w:sz w:val="28"/>
          <w:szCs w:val="28"/>
        </w:rPr>
        <w:t>必须使用符合ISO 37001:2016反贿赂管理体系标准的更新版诚信协议。</w:t>
      </w:r>
    </w:p>
    <w:p w14:paraId="24C12F81">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在数据保护方面，2022年第27号《个人数据保护法》（PDP Law）已于2024年10月16日全面生效，健康数据被纳入高敏感度个人数据轨道。</w:t>
      </w:r>
      <w:r>
        <w:rPr>
          <w:rFonts w:hint="eastAsia" w:ascii="Times New Roman" w:hAnsi="Times New Roman"/>
          <w:sz w:val="28"/>
          <w:szCs w:val="28"/>
        </w:rPr>
        <w:t>该法</w:t>
      </w:r>
      <w:r>
        <w:rPr>
          <w:rFonts w:ascii="Times New Roman" w:hAnsi="Times New Roman"/>
          <w:sz w:val="28"/>
          <w:szCs w:val="28"/>
        </w:rPr>
        <w:t>建立了六项合法处理基础，并确立了跨境数据传输的三层框架</w:t>
      </w:r>
      <w:r>
        <w:rPr>
          <w:rFonts w:hint="eastAsia" w:ascii="Times New Roman" w:hAnsi="Times New Roman"/>
          <w:sz w:val="28"/>
          <w:szCs w:val="28"/>
        </w:rPr>
        <w:t>，即</w:t>
      </w:r>
      <w:r>
        <w:rPr>
          <w:rFonts w:ascii="Times New Roman" w:hAnsi="Times New Roman"/>
          <w:sz w:val="28"/>
          <w:szCs w:val="28"/>
        </w:rPr>
        <w:t>充分性认定、约束性保障措施和数据主体同意</w:t>
      </w:r>
      <w:r>
        <w:rPr>
          <w:rFonts w:hint="eastAsia" w:ascii="Times New Roman" w:hAnsi="Times New Roman"/>
          <w:sz w:val="28"/>
          <w:szCs w:val="28"/>
        </w:rPr>
        <w:t>。</w:t>
      </w:r>
    </w:p>
    <w:p w14:paraId="09617F5A">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在环保与劳动用工合规层面，从事医疗器械进口与分销的企业须根据环境影响等级，通过国家 OSS 系统申请对应环境许可：低风险主体提交环境管理承诺函，中风险主体编制环境管理与监测方案（UKL-UPL），高风险项目则需完成环境影响评价（AMDAL）；含放射性、有毒有害废弃物的医疗器械，需按印尼《环境管理法》规范处置医疗废弃物。</w:t>
      </w:r>
    </w:p>
    <w:p w14:paraId="2BB3C28E">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贸易政策等其他需关注的情况</w:t>
      </w:r>
    </w:p>
    <w:p w14:paraId="276C607C">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印尼医疗器械领域存在多项产业导向型贸易政策，构成中国出口企业需重点关注的隐性壁垒。首先是本地含量要求（TKDN）</w:t>
      </w:r>
      <w:r>
        <w:rPr>
          <w:rFonts w:hint="eastAsia" w:ascii="Times New Roman" w:hAnsi="Times New Roman"/>
          <w:sz w:val="28"/>
          <w:szCs w:val="28"/>
        </w:rPr>
        <w:t>。</w:t>
      </w:r>
      <w:r>
        <w:rPr>
          <w:rFonts w:ascii="Times New Roman" w:hAnsi="Times New Roman"/>
          <w:sz w:val="28"/>
          <w:szCs w:val="28"/>
        </w:rPr>
        <w:t>印尼政府推行医疗器械本地化产业政策，在公立医院电子政府采购系统中，对 79 大类共 5400 余种医疗器械设置了本地含量门槛，未达标的纯进口产品无法参与政府采购投标；政策鼓励境外企业在印尼投资设厂、开展技术转让，本土生产产品在招投标中享有显著的价格与评分优势。其次是分阶段强制清真认证，清真认证的分阶段强制实施对含动物源性材料的医疗器械构成实质性贸易壁垒。根据印尼第 42/2024 号政府条例，医疗器械按风险等级逐步强制实施 Halal 认证</w:t>
      </w:r>
      <w:r>
        <w:rPr>
          <w:rFonts w:hint="eastAsia" w:ascii="Times New Roman" w:hAnsi="Times New Roman"/>
          <w:sz w:val="28"/>
          <w:szCs w:val="28"/>
        </w:rPr>
        <w:t>。</w:t>
      </w:r>
      <w:r>
        <w:rPr>
          <w:rFonts w:ascii="Times New Roman" w:hAnsi="Times New Roman"/>
          <w:sz w:val="28"/>
          <w:szCs w:val="28"/>
        </w:rPr>
        <w:t>这一要求不仅涉及产品成分，还涉及生产过程中的交叉污染控制，对供应链管理提出较高要求。</w:t>
      </w:r>
    </w:p>
    <w:p w14:paraId="1B292E36">
      <w:pPr>
        <w:pStyle w:val="26"/>
        <w:numPr>
          <w:ilvl w:val="2"/>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马来西亚</w:t>
      </w:r>
    </w:p>
    <w:p w14:paraId="36DA8C20">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马来西亚医疗器械监管以《2012年医疗器械法》（Medical Devices Act 2012，Act 737）为顶层法律依据，配套《2012年医疗器械条例》（P.U.(A) 500/2012）及马来西亚医疗器械管理局（Medical Device Authority</w:t>
      </w:r>
      <w:r>
        <w:rPr>
          <w:rFonts w:hint="eastAsia" w:ascii="Times New Roman" w:hAnsi="Times New Roman"/>
          <w:sz w:val="28"/>
          <w:szCs w:val="28"/>
          <w:lang w:val="en-GB"/>
        </w:rPr>
        <w:t>，</w:t>
      </w:r>
      <w:r>
        <w:rPr>
          <w:rFonts w:ascii="Times New Roman" w:hAnsi="Times New Roman"/>
          <w:sz w:val="28"/>
          <w:szCs w:val="28"/>
          <w:lang w:val="en-GB"/>
        </w:rPr>
        <w:t>MDA）发布的系列技术指南，形成了完整的监管法规体系。2025年9月生效的《2025年医疗器械（修订）条例》（P.U.(A) 330） 修订了费用结构，新的A类费用自2026年1月起实施。《2026年医疗器械（指定医疗器械）令》 将医美器械（激光设备、HIFU系统、抽脂设备）纳入医疗器械监管，自2026年6月1日起生效。</w:t>
      </w:r>
    </w:p>
    <w:p w14:paraId="7BFF3D72">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马来西亚医疗器械监管的</w:t>
      </w:r>
      <w:r>
        <w:rPr>
          <w:rFonts w:ascii="Times New Roman" w:hAnsi="Times New Roman"/>
          <w:sz w:val="28"/>
          <w:szCs w:val="28"/>
          <w:lang w:val="en-GB"/>
        </w:rPr>
        <w:t>执法机关为马来西亚医疗器械管理局（MDA）</w:t>
      </w:r>
      <w:r>
        <w:rPr>
          <w:rFonts w:hint="eastAsia" w:ascii="Times New Roman" w:hAnsi="Times New Roman"/>
          <w:sz w:val="28"/>
          <w:szCs w:val="28"/>
          <w:lang w:val="en-GB"/>
        </w:rPr>
        <w:t>，隶属于</w:t>
      </w:r>
      <w:r>
        <w:rPr>
          <w:rFonts w:ascii="Times New Roman" w:hAnsi="Times New Roman"/>
          <w:sz w:val="28"/>
          <w:szCs w:val="28"/>
          <w:lang w:val="en-GB"/>
        </w:rPr>
        <w:t>马来西亚卫生部（Ministry of Health Malaysia, MOH）</w:t>
      </w:r>
      <w:r>
        <w:rPr>
          <w:rFonts w:hint="eastAsia" w:ascii="Times New Roman" w:hAnsi="Times New Roman"/>
          <w:sz w:val="28"/>
          <w:szCs w:val="28"/>
          <w:lang w:val="en-GB"/>
        </w:rPr>
        <w:t>，</w:t>
      </w:r>
      <w:r>
        <w:rPr>
          <w:rFonts w:ascii="Times New Roman" w:hAnsi="Times New Roman"/>
          <w:sz w:val="28"/>
          <w:szCs w:val="28"/>
          <w:lang w:val="en-GB"/>
        </w:rPr>
        <w:t>统一负责产品注册审批、经营资质许可、符合性评估机构指定与监督、上市后监管和执法，以及进口许可的签发。</w:t>
      </w:r>
    </w:p>
    <w:p w14:paraId="01CD7770">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上市准入合规</w:t>
      </w:r>
    </w:p>
    <w:p w14:paraId="109B6618">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马来西亚采用AMDD四级分类，A类为低风险，B类为中低风险，C类为中高风险，D类为高风险。风险等级越高，注册审评要求越严格、周期越长。自 2025 年 5 月 1 日起，MDA 强制实行线上分类申请，企业通过系统提交分类请求后获取电子分类函，作为注册申报的法定基础文件。</w:t>
      </w:r>
    </w:p>
    <w:p w14:paraId="0D9A1812">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根据《医疗器械法 2012》（Act 737）第 5 条、第 15 条规定，所有医疗器械在进口、出口或投放马来西亚市场前必须完成注册，所有从事相关经营活动的场所必须取得经营场所许可证，不同主体的资质与权利边界有明确法律划分</w:t>
      </w:r>
      <w:r>
        <w:rPr>
          <w:rFonts w:hint="eastAsia" w:ascii="Times New Roman" w:hAnsi="Times New Roman"/>
          <w:sz w:val="28"/>
          <w:szCs w:val="28"/>
        </w:rPr>
        <w:t>。其中，</w:t>
      </w:r>
      <w:r>
        <w:rPr>
          <w:rFonts w:ascii="Times New Roman" w:hAnsi="Times New Roman"/>
          <w:sz w:val="28"/>
          <w:szCs w:val="28"/>
        </w:rPr>
        <w:t>产品注册主体仅限制造商和授权代表（Authorized Representative</w:t>
      </w:r>
      <w:r>
        <w:rPr>
          <w:rFonts w:hint="eastAsia" w:ascii="Times New Roman" w:hAnsi="Times New Roman"/>
          <w:sz w:val="28"/>
          <w:szCs w:val="28"/>
        </w:rPr>
        <w:t>，</w:t>
      </w:r>
      <w:r>
        <w:rPr>
          <w:rFonts w:ascii="Times New Roman" w:hAnsi="Times New Roman"/>
          <w:sz w:val="28"/>
          <w:szCs w:val="28"/>
        </w:rPr>
        <w:t>AR），境外制造商不得直接向 MDA 申请注册，必须指定一家在马来西亚合法注册、持有有效经营场所许可证的实体作为 AR，由其作为法定持证主体提交申请并持有注册证书；规则明确 AR 不得同时担任该产品的品牌所有者。进口商、分销商需取得 MDA 颁发的经营场所许可证</w:t>
      </w:r>
      <w:r>
        <w:rPr>
          <w:rFonts w:hint="eastAsia" w:ascii="Times New Roman" w:hAnsi="Times New Roman"/>
          <w:sz w:val="28"/>
          <w:szCs w:val="28"/>
        </w:rPr>
        <w:t>，</w:t>
      </w:r>
      <w:r>
        <w:rPr>
          <w:rFonts w:ascii="Times New Roman" w:hAnsi="Times New Roman"/>
          <w:sz w:val="28"/>
          <w:szCs w:val="28"/>
        </w:rPr>
        <w:t>无权申请或持有产品注册证，进口商只能进口 AR 授权的已注册产品，分销商只能分销 AR 或制造商授权的已注册产品。所有从事进口、分销、AR 业务的机构，都必须先取得医疗器械良好分销规范（GDPMD）认证，方可申请经营场所许可证，GDPMD 由 MDA 认可的本地符合性评估机构（CAB）审核发证。</w:t>
      </w:r>
    </w:p>
    <w:p w14:paraId="1C4428EE">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所有注册申请统一通过 MDA 官方的MeDC@St线上系统提交，技术文档需符合 AMDD 通用提交档案模板（CSDT）标准，核心包括产品描述与预期用途、符合 ISO 14971 的风险管理报告、临床评价资料、标签与使用说明书、质量管理体系证明、符合性声明等模块，境外制造商需额外提供 ISO 13485 质量管理体系认证证书。</w:t>
      </w:r>
    </w:p>
    <w:p w14:paraId="2379B339">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2026 年 3 月 1 日起，马来西亚正式永久生效与新加坡卫生科学局（HSA）的监管依赖安排，已在新加坡医疗器械注册簿（SMDR）完成注册的 Class B、C、D 类产品，可通过专门的验证路径申请马来西亚注册。整体注册周期可缩短至约 3 个月，是目前最快的市场准入路径。</w:t>
      </w:r>
    </w:p>
    <w:p w14:paraId="426BC759">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进口合规</w:t>
      </w:r>
    </w:p>
    <w:p w14:paraId="0E158707">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马来西亚医疗器械进口清关的核心是医疗器械专项监管与海关管制。根据《医疗器械法 2012》（Act 737），马来西亚医疗器械供应链实行分类持证管理：境外制造商需先指定本地授权代表（AR）完成产品注册，再由 AR 书面任命进口商负责实际进口操作</w:t>
      </w:r>
      <w:r>
        <w:rPr>
          <w:rFonts w:hint="eastAsia" w:ascii="Times New Roman" w:hAnsi="Times New Roman"/>
          <w:sz w:val="28"/>
          <w:szCs w:val="28"/>
        </w:rPr>
        <w:t>，</w:t>
      </w:r>
      <w:r>
        <w:rPr>
          <w:rFonts w:ascii="Times New Roman" w:hAnsi="Times New Roman"/>
          <w:sz w:val="28"/>
          <w:szCs w:val="28"/>
        </w:rPr>
        <w:t>中国制造商无法自行报关。进口商必须持有马来西亚医疗器械管理局（MDA）颁发的机构经营许可证，且通过医疗器械良好分销规范（GDPMD）认证，该资质既是行业监管要求，也是海关认可进口主体的前置条件。进口商与 AR 可为同一家企业，但二者法律角色独立，AR 持有产品注册证书并承担全生命周期合规责任，进口商仅负责进口申报与物流环节。</w:t>
      </w:r>
    </w:p>
    <w:p w14:paraId="7B9A29D3">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进口许可制度方面，MDA 已将医疗器械逐票进口许可的强制执行时间推迟至 2027 年 7 月 1 日。当前过渡期内，医疗器械进口暂不要求逐票申请 MDA 进口许可，沿用常规海关申报流程即可，企业可自愿通过 ePermit/DagangNet 系统提前适配流程。2027 年 7 月后，所有进口需先取得 MDA 签发的进口许可，许可数据与海关系统自动同步，作为放行的法定前置条件。</w:t>
      </w:r>
    </w:p>
    <w:p w14:paraId="0DB4D868">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清关申报通过马来西亚海关 SCORE 系统提交，核心单证分为三类：一是基础商业单证，含注明 CIF 价格的商业发票、装箱单、海运 / 空运提单、保险单，所有单证信息需保持一致；二是关税优惠单证，即中国 - 东盟自贸协定 FORM E 原产地证书，信息需与发票、提单严格匹配，不符将导致关税优惠失效；三是医疗器械专项单证，即 MDA 产品注册证书、进口商机构经营许可证副本，为海关确认产品合法准入的核心依据。</w:t>
      </w:r>
    </w:p>
    <w:p w14:paraId="1CAC6C54">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马来西亚皇家</w:t>
      </w:r>
      <w:r>
        <w:rPr>
          <w:rFonts w:hint="eastAsia" w:ascii="Times New Roman" w:hAnsi="Times New Roman"/>
          <w:sz w:val="28"/>
          <w:szCs w:val="28"/>
        </w:rPr>
        <w:t>海关（</w:t>
      </w:r>
      <w:r>
        <w:rPr>
          <w:rFonts w:ascii="Times New Roman" w:hAnsi="Times New Roman"/>
          <w:sz w:val="28"/>
          <w:szCs w:val="28"/>
        </w:rPr>
        <w:t>JKDM</w:t>
      </w:r>
      <w:r>
        <w:rPr>
          <w:rFonts w:hint="eastAsia" w:ascii="Times New Roman" w:hAnsi="Times New Roman"/>
          <w:sz w:val="28"/>
          <w:szCs w:val="28"/>
        </w:rPr>
        <w:t>）</w:t>
      </w:r>
      <w:r>
        <w:rPr>
          <w:rFonts w:ascii="Times New Roman" w:hAnsi="Times New Roman"/>
          <w:sz w:val="28"/>
          <w:szCs w:val="28"/>
        </w:rPr>
        <w:t>是口岸日常清关的法定执法主体，但 MDA 并非完全不介入口岸监管。根据 MDA 官方公示的执法职能与实操案例，其上市后执法部门会与</w:t>
      </w:r>
      <w:r>
        <w:rPr>
          <w:rFonts w:hint="eastAsia" w:ascii="Times New Roman" w:hAnsi="Times New Roman"/>
          <w:sz w:val="28"/>
          <w:szCs w:val="28"/>
        </w:rPr>
        <w:t>JKDM</w:t>
      </w:r>
      <w:r>
        <w:rPr>
          <w:rFonts w:ascii="Times New Roman" w:hAnsi="Times New Roman"/>
          <w:sz w:val="28"/>
          <w:szCs w:val="28"/>
        </w:rPr>
        <w:t>、州药品执法部门在主要入境口岸开展常态化联合检查，专项打击未注册、无证进口的医疗器械；海关现场发现可疑货物后，可依法暂扣并通报 MDA 作后续核查与定性处置，并非仅由海关独立完成全部查验。</w:t>
      </w:r>
    </w:p>
    <w:p w14:paraId="2269ACDB">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上市后持续合规义务</w:t>
      </w:r>
    </w:p>
    <w:p w14:paraId="3BE5835F">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马来西亚上市后监管全面对接《东盟医疗器械指令》（AMDD）的上市后预警系统（PMAS）框架，由马来西亚医疗器械管理局（MDA）统一监督执行，本地落地为上市后监督与警戒（PMSV）体系，核心义务覆盖不良事件报告、产品追溯与召回、变更管理、年度合规与现场检查四大维度，适用于所有已注册医疗器械及所有持证经营场所。</w:t>
      </w:r>
    </w:p>
    <w:p w14:paraId="264E4BD4">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企业需建立完整的上市后监督（PMS）体系，配置专职器械警戒人员，</w:t>
      </w:r>
      <w:r>
        <w:rPr>
          <w:rFonts w:hint="eastAsia" w:ascii="Times New Roman" w:hAnsi="Times New Roman"/>
          <w:sz w:val="28"/>
          <w:szCs w:val="28"/>
        </w:rPr>
        <w:t>并</w:t>
      </w:r>
      <w:r>
        <w:rPr>
          <w:rFonts w:ascii="Times New Roman" w:hAnsi="Times New Roman"/>
          <w:sz w:val="28"/>
          <w:szCs w:val="28"/>
        </w:rPr>
        <w:t>通过 MEDCREST 医疗器械集中报告所有强制问题报告（MPR）、现场安全纠正措施（FSCA）、产品召回相关申报。</w:t>
      </w:r>
    </w:p>
    <w:p w14:paraId="033DC0F2">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本地授权代表（AR）是上市后合规义务的法定责任主体，境外制造商的所有上市后数据、报告与申请均须通过本地授权代表统一报送 MDA，不得直接向监管部门提交。AR 需全权负责不良事件监测、客户投诉处理、缺陷召回执行、产品变更申报等全流程上市后事务，承担相应法律责任；若更换 AR，需同步完成上市后责任主体的变更备案，否则将触发处罚。</w:t>
      </w:r>
    </w:p>
    <w:p w14:paraId="3BCB7C00">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经营合规</w:t>
      </w:r>
    </w:p>
    <w:p w14:paraId="6BF31DCE">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经营主体资质方面，所有在马来西亚从事医疗器械进口、批发、分销的企业，必须取得 MDA 颁发的机构许可（Establishment License），有效期 5 年，经营范围需与产品风险分类对应。2023 年起，医疗器械良好分销规范（GDPMD）认证已成为取得机构许可的强制前置条件，要求企业在仓储管理、运输管控、质量追溯、缺陷召回等环节符合统一标准，同时也是产品进入马来西亚政府采购电子目录的必备门槛。境外制造商不得直接向马来西亚终端医疗机构、零售药店或个人患者销售医疗器械，必须通过授权的本地持证分销商完成全渠道销售。</w:t>
      </w:r>
    </w:p>
    <w:p w14:paraId="65C3E0CA">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马来西亚医疗器械广告受《2012年医疗器械法》（Act 737）第44条及《2019年医疗器械（广告）条例》〔P.U.(A) 317〕</w:t>
      </w:r>
      <w:r>
        <w:rPr>
          <w:rFonts w:hint="eastAsia" w:ascii="Times New Roman" w:hAnsi="Times New Roman"/>
          <w:sz w:val="28"/>
          <w:szCs w:val="28"/>
        </w:rPr>
        <w:t>调整，</w:t>
      </w:r>
      <w:r>
        <w:rPr>
          <w:rFonts w:ascii="Times New Roman" w:hAnsi="Times New Roman"/>
          <w:sz w:val="28"/>
          <w:szCs w:val="28"/>
        </w:rPr>
        <w:t>由 MDA 统一负责审批与执法，所有已注册医疗器械的商业推广宣传均需纳入监管范畴。所有已注册医疗器械的商业广告均须事先向 MDA 申请审批，提交拟发布广告样稿、对应申请费用及注册持证主体的授权函，取得官方广告批准文号后方可投放</w:t>
      </w:r>
      <w:r>
        <w:rPr>
          <w:rFonts w:hint="eastAsia" w:ascii="Times New Roman" w:hAnsi="Times New Roman"/>
          <w:sz w:val="28"/>
          <w:szCs w:val="28"/>
        </w:rPr>
        <w:t>。</w:t>
      </w:r>
      <w:r>
        <w:rPr>
          <w:rFonts w:ascii="Times New Roman" w:hAnsi="Times New Roman"/>
          <w:sz w:val="28"/>
          <w:szCs w:val="28"/>
        </w:rPr>
        <w:t>仅非促销性质的纯学术交流、行业公共信息告知不属于广告审批范畴</w:t>
      </w:r>
      <w:r>
        <w:rPr>
          <w:rFonts w:hint="eastAsia" w:ascii="Times New Roman" w:hAnsi="Times New Roman"/>
          <w:sz w:val="28"/>
          <w:szCs w:val="28"/>
        </w:rPr>
        <w:t>。</w:t>
      </w:r>
      <w:r>
        <w:rPr>
          <w:rFonts w:ascii="Times New Roman" w:hAnsi="Times New Roman"/>
          <w:sz w:val="28"/>
          <w:szCs w:val="28"/>
        </w:rPr>
        <w:t>面向医疗专业人士的带有推广属性的宣传，同样需要履行审批程序。仅限医疗专业人士操作使用的专业类医疗器械，严禁通过电视、报刊、社交媒体等任何大众媒体向公众发布广告，也不得直接面向公众销售，相关产品推广仅可在面向医护人员的专业医学期刊、学术会议等封闭专业渠道内投放。广告内容必须与产品注册文件、经批准的使用说明书保持完全一致，信息需真实准确、客观完整，不得含有误导性或欺诈性表述，不得夸大疗效、隐瞒风险或诱导公众自行诊断使用；所有广告均需明确标注产品已依据 Act 737 注册的声明及对应的产品注册编号，面向公众投放的广告还需醒目标注 MDA 广告批准文号</w:t>
      </w:r>
      <w:r>
        <w:rPr>
          <w:rFonts w:hint="eastAsia" w:ascii="Times New Roman" w:hAnsi="Times New Roman"/>
          <w:sz w:val="28"/>
          <w:szCs w:val="28"/>
        </w:rPr>
        <w:t>。</w:t>
      </w:r>
      <w:r>
        <w:rPr>
          <w:rFonts w:ascii="Times New Roman" w:hAnsi="Times New Roman"/>
          <w:sz w:val="28"/>
          <w:szCs w:val="28"/>
        </w:rPr>
        <w:t>广告可使用马来语或英语呈现，核心警示信息需清晰可辨。</w:t>
      </w:r>
    </w:p>
    <w:p w14:paraId="50E204C5">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反贿赂合规方面，</w:t>
      </w:r>
      <w:r>
        <w:rPr>
          <w:rFonts w:ascii="Times New Roman" w:hAnsi="Times New Roman"/>
          <w:sz w:val="28"/>
          <w:szCs w:val="28"/>
        </w:rPr>
        <w:t>马来西亚以《2009年马来西亚反腐败委员会法》为核心法律，由马来西亚反贪污委员会（MACC）负责执法，医疗行业被列为腐败高风险领域。</w:t>
      </w:r>
    </w:p>
    <w:p w14:paraId="1D3FB430">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数据</w:t>
      </w:r>
      <w:r>
        <w:rPr>
          <w:rFonts w:hint="eastAsia" w:ascii="Times New Roman" w:hAnsi="Times New Roman"/>
          <w:sz w:val="28"/>
          <w:szCs w:val="28"/>
        </w:rPr>
        <w:t>合规方面，</w:t>
      </w:r>
      <w:r>
        <w:rPr>
          <w:rFonts w:ascii="Times New Roman" w:hAnsi="Times New Roman"/>
          <w:sz w:val="28"/>
          <w:szCs w:val="28"/>
        </w:rPr>
        <w:t>《2010年个人数据保护法》（PDPA） 将健康数据归类为敏感个人数据，处理须获得数据主体的明确同意</w:t>
      </w:r>
      <w:r>
        <w:rPr>
          <w:rFonts w:hint="eastAsia" w:ascii="Times New Roman" w:hAnsi="Times New Roman"/>
          <w:sz w:val="28"/>
          <w:szCs w:val="28"/>
        </w:rPr>
        <w:t>，</w:t>
      </w:r>
      <w:r>
        <w:rPr>
          <w:rFonts w:ascii="Times New Roman" w:hAnsi="Times New Roman"/>
          <w:sz w:val="28"/>
          <w:szCs w:val="28"/>
        </w:rPr>
        <w:t>限定合法使用目的。跨境传输个人健康数据需确保接收国具备同等数据保护水平，或获得数据主体的书面同意</w:t>
      </w:r>
      <w:r>
        <w:rPr>
          <w:rFonts w:hint="eastAsia" w:ascii="Times New Roman" w:hAnsi="Times New Roman"/>
          <w:sz w:val="28"/>
          <w:szCs w:val="28"/>
        </w:rPr>
        <w:t>。</w:t>
      </w:r>
    </w:p>
    <w:p w14:paraId="0D39E9DD">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贸易政策等其他需关注的情况</w:t>
      </w:r>
    </w:p>
    <w:p w14:paraId="2F625D92">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马来西亚通过制度设计与产业政策引导医疗器械本地化发展，形成了多维度的市场准入壁垒。政府采购中优先考虑本地产品，2026年第1号通告通过要求投标人持有本地经营场所许可证强化了本地化合规要求。马来西亚对含动物源性材料的医疗器械有清真认证要求，马来西亚伊斯兰发展部（JAKIM）负责全国 Halal 清真认证管理，对于接触人体、含动物源性原材料的医疗器械，公立医院采购优先考虑获得清真认证的产品，部分品类已逐步推行强制认证要求。</w:t>
      </w:r>
    </w:p>
    <w:p w14:paraId="2D8986C7">
      <w:pPr>
        <w:pStyle w:val="26"/>
        <w:numPr>
          <w:ilvl w:val="2"/>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越南</w:t>
      </w:r>
    </w:p>
    <w:p w14:paraId="18780F88">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越南医疗器械监管的核心顶层框架为第 98/2021/ND-CP 号政府议定，该议定历经多次修订完善</w:t>
      </w:r>
      <w:r>
        <w:rPr>
          <w:rFonts w:hint="eastAsia" w:ascii="Times New Roman" w:hAnsi="Times New Roman"/>
          <w:sz w:val="28"/>
          <w:szCs w:val="28"/>
          <w:lang w:val="en-GB"/>
        </w:rPr>
        <w:t>。</w:t>
      </w:r>
      <w:r>
        <w:rPr>
          <w:rFonts w:ascii="Times New Roman" w:hAnsi="Times New Roman"/>
          <w:sz w:val="28"/>
          <w:szCs w:val="28"/>
          <w:lang w:val="en-GB"/>
        </w:rPr>
        <w:t>2023 年 3 月 3 日生效的第 07/2023/ND-CP 号议定为首次重大修订，重点优化了注册过渡期安排、延长进口许可有效期、明确 CSDT 申报要求</w:t>
      </w:r>
      <w:r>
        <w:rPr>
          <w:rFonts w:hint="eastAsia" w:ascii="Times New Roman" w:hAnsi="Times New Roman"/>
          <w:sz w:val="28"/>
          <w:szCs w:val="28"/>
          <w:lang w:val="en-GB"/>
        </w:rPr>
        <w:t>。</w:t>
      </w:r>
      <w:r>
        <w:rPr>
          <w:rFonts w:ascii="Times New Roman" w:hAnsi="Times New Roman"/>
          <w:sz w:val="28"/>
          <w:szCs w:val="28"/>
          <w:lang w:val="en-GB"/>
        </w:rPr>
        <w:t>2025 年 1 月 1 日生效的第 04/2025/ND-CP 号议定为第三次修订，进一步细化风险分类规则、注册申报要求与上市后义务</w:t>
      </w:r>
      <w:r>
        <w:rPr>
          <w:rFonts w:hint="eastAsia" w:ascii="Times New Roman" w:hAnsi="Times New Roman"/>
          <w:sz w:val="28"/>
          <w:szCs w:val="28"/>
          <w:lang w:val="en-GB"/>
        </w:rPr>
        <w:t>。</w:t>
      </w:r>
    </w:p>
    <w:p w14:paraId="37E4F159">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南医疗器械的主管机关是越南卫生部（Ministry of Health</w:t>
      </w:r>
      <w:r>
        <w:rPr>
          <w:rFonts w:hint="eastAsia" w:ascii="Times New Roman" w:hAnsi="Times New Roman"/>
          <w:sz w:val="28"/>
          <w:szCs w:val="28"/>
          <w:lang w:val="en-GB"/>
        </w:rPr>
        <w:t>，</w:t>
      </w:r>
      <w:r>
        <w:rPr>
          <w:rFonts w:ascii="Times New Roman" w:hAnsi="Times New Roman"/>
          <w:sz w:val="28"/>
          <w:szCs w:val="28"/>
          <w:lang w:val="en-GB"/>
        </w:rPr>
        <w:t>MOH） ，具体由其下属的基础设施与医疗器械管理局（Infrastructure and Medical Device Administration</w:t>
      </w:r>
      <w:r>
        <w:rPr>
          <w:rFonts w:hint="eastAsia" w:ascii="Times New Roman" w:hAnsi="Times New Roman"/>
          <w:sz w:val="28"/>
          <w:szCs w:val="28"/>
          <w:lang w:val="en-GB"/>
        </w:rPr>
        <w:t>，</w:t>
      </w:r>
      <w:r>
        <w:rPr>
          <w:rFonts w:ascii="Times New Roman" w:hAnsi="Times New Roman"/>
          <w:sz w:val="28"/>
          <w:szCs w:val="28"/>
          <w:lang w:val="en-GB"/>
        </w:rPr>
        <w:t>IMDA） 承担核心监管职能。在职责分工上，IMDA统一负责C类和D类中高风险医疗器械的注册审批、流通号核发、进口许可签发、上市后监管以及暂停、召回或撤销流通号等执法职能。A类和B类低风险器械的备案（公示）管理，则由省级卫生厅（Provincial Department of Health） 负责，并承担属地的日常检查和后审计工作。</w:t>
      </w:r>
    </w:p>
    <w:p w14:paraId="0C58F6C8">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上市准入合规</w:t>
      </w:r>
    </w:p>
    <w:p w14:paraId="4C0011A0">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越南按照 AMDD 标准将医疗器械划分为 Class A（低风险）、Class B（中低风险）、Class C（中高风险）、Class D（高风险）四个风险等级，分类规则与东盟统一标准完全一致，不同等级对应不同的准入模式与审评强度。境外医疗器械制造商不得直接向越南监管部门提交注册申请，必须指定一家在越南本地合法注册的企业作为上市授权持有人（MAH），由其作为法定持证主体统一提交全部申报材料，承担产品在越南境内全生命周期的合规责任。MAH须具备医疗器械经营资质，持有覆盖申报器械风险类别的有效营业执照，并完成经营资格声明。制造商出具给 MAH 的授权委托书（POA）须使用越南卫生部标准模板，载明对应产品型号、注册事务与售后管理的全权授权，授权有效期不少于 3 年。</w:t>
      </w:r>
    </w:p>
    <w:p w14:paraId="42A0014A">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 xml:space="preserve">Class A </w:t>
      </w:r>
      <w:r>
        <w:rPr>
          <w:rFonts w:hint="eastAsia" w:ascii="Times New Roman" w:hAnsi="Times New Roman"/>
          <w:sz w:val="28"/>
          <w:szCs w:val="28"/>
        </w:rPr>
        <w:t>、</w:t>
      </w:r>
      <w:r>
        <w:rPr>
          <w:rFonts w:ascii="Times New Roman" w:hAnsi="Times New Roman"/>
          <w:sz w:val="28"/>
          <w:szCs w:val="28"/>
        </w:rPr>
        <w:t>Class B</w:t>
      </w:r>
      <w:r>
        <w:rPr>
          <w:rFonts w:hint="eastAsia" w:ascii="Times New Roman" w:hAnsi="Times New Roman"/>
          <w:sz w:val="28"/>
          <w:szCs w:val="28"/>
        </w:rPr>
        <w:t>中低风险</w:t>
      </w:r>
      <w:r>
        <w:rPr>
          <w:rFonts w:ascii="Times New Roman" w:hAnsi="Times New Roman"/>
          <w:sz w:val="28"/>
          <w:szCs w:val="28"/>
        </w:rPr>
        <w:t>产品实行备案制，由 MAH 向企业经营所在地的省级卫生厅提交标准声明文件与基础技术资料，形式审查符合要求即获取永久有效的上市授权码（MAC），无需部级技术审评</w:t>
      </w:r>
      <w:r>
        <w:rPr>
          <w:rFonts w:hint="eastAsia" w:ascii="Times New Roman" w:hAnsi="Times New Roman"/>
          <w:sz w:val="28"/>
          <w:szCs w:val="28"/>
        </w:rPr>
        <w:t>。</w:t>
      </w:r>
      <w:r>
        <w:rPr>
          <w:rFonts w:ascii="Times New Roman" w:hAnsi="Times New Roman"/>
          <w:sz w:val="28"/>
          <w:szCs w:val="28"/>
        </w:rPr>
        <w:t xml:space="preserve"> Class C、D 类产品实行注册制，需提交完整的技术文档，接受全面技术审评。获批后获取永久有效的注册文号，无需定期续期，仅在产品发生重大变更、出现重大安全风险时监管部门可予以撤销</w:t>
      </w:r>
      <w:r>
        <w:rPr>
          <w:rFonts w:hint="eastAsia" w:ascii="Times New Roman" w:hAnsi="Times New Roman"/>
          <w:sz w:val="28"/>
          <w:szCs w:val="28"/>
        </w:rPr>
        <w:t>。</w:t>
      </w:r>
      <w:r>
        <w:rPr>
          <w:rFonts w:ascii="Times New Roman" w:hAnsi="Times New Roman"/>
          <w:sz w:val="28"/>
          <w:szCs w:val="28"/>
        </w:rPr>
        <w:t>注册路径分为普通路径与简化路径，</w:t>
      </w:r>
      <w:r>
        <w:rPr>
          <w:rFonts w:hint="eastAsia" w:ascii="Times New Roman" w:hAnsi="Times New Roman"/>
          <w:sz w:val="28"/>
          <w:szCs w:val="28"/>
        </w:rPr>
        <w:t>对于已获得</w:t>
      </w:r>
      <w:r>
        <w:rPr>
          <w:rFonts w:ascii="Times New Roman" w:hAnsi="Times New Roman"/>
          <w:sz w:val="28"/>
          <w:szCs w:val="28"/>
        </w:rPr>
        <w:t>美国FDA、澳大利亚TGA、加拿大卫生部、日本MHLW/PMDA、欧盟成员国、英国、瑞士、中国NMPA或韩国MFDS批准的产品</w:t>
      </w:r>
      <w:r>
        <w:rPr>
          <w:rFonts w:hint="eastAsia" w:ascii="Times New Roman" w:hAnsi="Times New Roman"/>
          <w:sz w:val="28"/>
          <w:szCs w:val="28"/>
        </w:rPr>
        <w:t>，</w:t>
      </w:r>
      <w:r>
        <w:rPr>
          <w:rFonts w:ascii="Times New Roman" w:hAnsi="Times New Roman"/>
          <w:sz w:val="28"/>
          <w:szCs w:val="28"/>
        </w:rPr>
        <w:t>可</w:t>
      </w:r>
      <w:r>
        <w:rPr>
          <w:rFonts w:hint="eastAsia" w:ascii="Times New Roman" w:hAnsi="Times New Roman"/>
          <w:sz w:val="28"/>
          <w:szCs w:val="28"/>
        </w:rPr>
        <w:t>申请简化路径，</w:t>
      </w:r>
      <w:r>
        <w:rPr>
          <w:rFonts w:ascii="Times New Roman" w:hAnsi="Times New Roman"/>
          <w:sz w:val="28"/>
          <w:szCs w:val="28"/>
        </w:rPr>
        <w:t>可显著缩短审评周期</w:t>
      </w:r>
      <w:r>
        <w:rPr>
          <w:rFonts w:hint="eastAsia" w:ascii="Times New Roman" w:hAnsi="Times New Roman"/>
          <w:sz w:val="28"/>
          <w:szCs w:val="28"/>
        </w:rPr>
        <w:t>。</w:t>
      </w:r>
    </w:p>
    <w:p w14:paraId="0E34508A">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技术申报资料需符合 AMDD 通用提交档案模板（CSDT）的结构要求</w:t>
      </w:r>
      <w:r>
        <w:rPr>
          <w:rFonts w:hint="eastAsia" w:ascii="Times New Roman" w:hAnsi="Times New Roman"/>
          <w:sz w:val="28"/>
          <w:szCs w:val="28"/>
        </w:rPr>
        <w:t>，需提交</w:t>
      </w:r>
      <w:r>
        <w:rPr>
          <w:rFonts w:ascii="Times New Roman" w:hAnsi="Times New Roman"/>
          <w:sz w:val="28"/>
          <w:szCs w:val="28"/>
        </w:rPr>
        <w:t>ISO 13485证书（注意生产范围覆盖）、自由销售证明（CFS，需领事认证）、制造商授权书（LOA，需领事认证）、使用说明书（原文及越文译本）、越南上市标签样本、保修条件确认函（如适用）</w:t>
      </w:r>
      <w:r>
        <w:rPr>
          <w:rFonts w:hint="eastAsia" w:ascii="Times New Roman" w:hAnsi="Times New Roman"/>
          <w:sz w:val="28"/>
          <w:szCs w:val="28"/>
        </w:rPr>
        <w:t>。</w:t>
      </w:r>
      <w:r>
        <w:rPr>
          <w:rFonts w:ascii="Times New Roman" w:hAnsi="Times New Roman"/>
          <w:sz w:val="28"/>
          <w:szCs w:val="28"/>
        </w:rPr>
        <w:t>ISO 13485证书缺失或未认证是最常见的驳回原因。</w:t>
      </w:r>
    </w:p>
    <w:p w14:paraId="39B0FF17">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进口合规</w:t>
      </w:r>
    </w:p>
    <w:p w14:paraId="5636F8A2">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中国制造商向越南出口医疗器械，无法自行办理口岸申报与清关，必须依托越南本地具备合法资质的进口企业作为法定主体完成全流程。进口商的资质要求同时源于医疗器械监管和海关管制。根据第98/2021/ND-CP号法令，进口医疗器械的企业须满足特定条件，且进口前须完成产品分类和注册或进口许可证手续。</w:t>
      </w:r>
    </w:p>
    <w:p w14:paraId="23EB6B62">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口岸执法层面，越南海关总局是日常清关的主导主体，卫生部（MOH）在口岸有直接介入权。医疗器械属于卫生部专门管理的商品，企业必须完全遵守分类、法律文件、上市许可和海关手续等方面的规定。海关在查验中重点关注各文件之间的一致性，对于部分敏感产品或高价值设备，主管机关可能要求实物查验以核对申报资料。产品名称、HS编码和注册文件之间的匹配性是查验的核心。2026年7月生效的第24/2026/TT-BYT号通函对医疗配件HS编码作出明确约束，HS编码归类模糊或单证参数不匹配可能导致海关专项查验。</w:t>
      </w:r>
    </w:p>
    <w:p w14:paraId="15ED528B">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上市后持续合规义务</w:t>
      </w:r>
    </w:p>
    <w:p w14:paraId="5FE26F8E">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越南医疗器械</w:t>
      </w:r>
      <w:r>
        <w:rPr>
          <w:rFonts w:ascii="Times New Roman" w:hAnsi="Times New Roman"/>
          <w:sz w:val="28"/>
          <w:szCs w:val="28"/>
        </w:rPr>
        <w:t>上市后监管由IMDA负责C/D类器械，省级卫生厅负责A/B类器械。2026年6月，卫生部发布第4438号公文，要求各省卫生厅加强医疗器械检查和后审计工作，对生产、经营和使用场所实施定期检查和突击检查，及时发现和制止违法行为。</w:t>
      </w:r>
    </w:p>
    <w:p w14:paraId="5055A68A">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企业需建立完整的上市后监督（PMS）体系，配置专职的器械警戒人员，主动跟踪产品临床使用安全情况，通过卫生部官方的不良事件报告系统提交报告。其中，导致死亡、严重健康损害的严重不良事件需在发现后 15 天内上报并提交调查分析报告，普通不良事件与客户投诉每季度汇总上报，每年提交年度安全评估报告。产品追溯与召回方面，要求企业建立覆盖生产、进口、分销全链条的可追溯体系，完整保存生产批次、分销流向、终端客户记录，确保缺陷产品可快速定位与精准召回。</w:t>
      </w:r>
      <w:r>
        <w:rPr>
          <w:rFonts w:hint="eastAsia" w:ascii="Times New Roman" w:hAnsi="Times New Roman"/>
          <w:sz w:val="28"/>
          <w:szCs w:val="28"/>
        </w:rPr>
        <w:t>此外，IMDA</w:t>
      </w:r>
      <w:r>
        <w:rPr>
          <w:rFonts w:ascii="Times New Roman" w:hAnsi="Times New Roman"/>
          <w:sz w:val="28"/>
          <w:szCs w:val="28"/>
        </w:rPr>
        <w:t>可对本地分销商仓储场地、境外制造商生产场地开展例行或飞行检查，核查质量管理体系与分销规范的实际执行情况，定期对市场流通的医疗器械进行抽样检测。</w:t>
      </w:r>
    </w:p>
    <w:p w14:paraId="0DE47121">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经营合规</w:t>
      </w:r>
    </w:p>
    <w:p w14:paraId="0FD4B504">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在经营环节，越南不设单一经营许可证，而是采用经营资格声明制度。从事医疗器械进口、批发、分销的企业须在经营活动所在地的省级卫生厅提交经营资格声明档案</w:t>
      </w:r>
      <w:r>
        <w:rPr>
          <w:rFonts w:hint="eastAsia" w:ascii="Times New Roman" w:hAnsi="Times New Roman"/>
          <w:sz w:val="28"/>
          <w:szCs w:val="28"/>
        </w:rPr>
        <w:t>，</w:t>
      </w:r>
      <w:r>
        <w:rPr>
          <w:rFonts w:ascii="Times New Roman" w:hAnsi="Times New Roman"/>
          <w:sz w:val="28"/>
          <w:szCs w:val="28"/>
        </w:rPr>
        <w:t>满足专业人员配置、仓储设施条件、医疗器械良好分销规范（GSP）等合规要求，即可开展对应经营活动。</w:t>
      </w:r>
    </w:p>
    <w:p w14:paraId="21A2C6BD">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医疗器械发布广告前需取得越南卫生部的广告审批许可，获得官方批准文号后方可投放。</w:t>
      </w:r>
    </w:p>
    <w:p w14:paraId="1782D7EE">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反贿赂合规层面，反腐败法律体系包括《反腐败法》和相关刑法条款</w:t>
      </w:r>
      <w:r>
        <w:rPr>
          <w:rFonts w:hint="eastAsia" w:ascii="Times New Roman" w:hAnsi="Times New Roman"/>
          <w:sz w:val="28"/>
          <w:szCs w:val="28"/>
        </w:rPr>
        <w:t>，</w:t>
      </w:r>
      <w:r>
        <w:rPr>
          <w:rFonts w:ascii="Times New Roman" w:hAnsi="Times New Roman"/>
          <w:sz w:val="28"/>
          <w:szCs w:val="28"/>
        </w:rPr>
        <w:t>严禁在产品注册、医院招投标、政府采购等环节给予任何形式的回扣、礼品、佣金等不当利益，要求企业建立内部反贿赂管理体系。</w:t>
      </w:r>
    </w:p>
    <w:p w14:paraId="3EE452A1">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数据合规方面，</w:t>
      </w:r>
      <w:r>
        <w:rPr>
          <w:rFonts w:ascii="Times New Roman" w:hAnsi="Times New Roman"/>
          <w:sz w:val="28"/>
          <w:szCs w:val="28"/>
        </w:rPr>
        <w:t>2025年《个人数据保护法》（第91/2025/QH15号法律）</w:t>
      </w:r>
      <w:r>
        <w:rPr>
          <w:rFonts w:hint="eastAsia" w:ascii="Times New Roman" w:hAnsi="Times New Roman"/>
          <w:sz w:val="28"/>
          <w:szCs w:val="28"/>
        </w:rPr>
        <w:t>为核心法律规范，</w:t>
      </w:r>
      <w:r>
        <w:rPr>
          <w:rFonts w:ascii="Times New Roman" w:hAnsi="Times New Roman"/>
          <w:sz w:val="28"/>
          <w:szCs w:val="28"/>
        </w:rPr>
        <w:t>健康数据被归类为敏感个人数据。2026年8月19日颁布的第330/2026/ND-CP号法令规定了个人数据保护行政处罚规则。跨境传输健康数据须满足严格合规条件。</w:t>
      </w:r>
    </w:p>
    <w:p w14:paraId="6E310C81">
      <w:pPr>
        <w:pStyle w:val="26"/>
        <w:numPr>
          <w:ilvl w:val="3"/>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贸易政策等其他需关注的情况</w:t>
      </w:r>
    </w:p>
    <w:p w14:paraId="4BB8D32A">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越南医疗器械进口的贸易政策环境呈现关税友好但非关税壁垒高的显著特征。越南对医疗器械进口实施较为优惠的关税政策。多数医疗器械的进口关税适用0%或5%的优惠税率，凭中国—东盟自贸区原产地证（Form E）可申请进一步优惠。</w:t>
      </w:r>
      <w:r>
        <w:rPr>
          <w:rFonts w:hint="eastAsia" w:ascii="Times New Roman" w:hAnsi="Times New Roman"/>
          <w:sz w:val="28"/>
          <w:szCs w:val="28"/>
        </w:rPr>
        <w:t>但越南医疗器械监管制度设置了很多非关税壁垒。例如，</w:t>
      </w:r>
      <w:r>
        <w:rPr>
          <w:rFonts w:ascii="Times New Roman" w:hAnsi="Times New Roman"/>
          <w:sz w:val="28"/>
          <w:szCs w:val="28"/>
        </w:rPr>
        <w:t>境外制造商必须指定越南本地企业作为MAH，MAH持有注册证，制造商对注册证的控制力有限。更换MAH意味着重新注册，导致至少数月的市场空窗期。技术文档、使用说明书、标签均须提供越南语版本。翻译须由医疗专业译员完成，灭菌、生物风险、禁忌症等专业术语不得直译出错。2026年越南进一步颁布第37/2026/ND-CP号法令，对原产地标签与越南语补充标签作出新的强制性规定。</w:t>
      </w:r>
    </w:p>
    <w:p w14:paraId="5E5083FE">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政府采购招标中</w:t>
      </w:r>
      <w:r>
        <w:rPr>
          <w:rFonts w:hint="eastAsia" w:ascii="Times New Roman" w:hAnsi="Times New Roman"/>
          <w:sz w:val="28"/>
          <w:szCs w:val="28"/>
        </w:rPr>
        <w:t>存在</w:t>
      </w:r>
      <w:r>
        <w:rPr>
          <w:rFonts w:ascii="Times New Roman" w:hAnsi="Times New Roman"/>
          <w:sz w:val="28"/>
          <w:szCs w:val="28"/>
        </w:rPr>
        <w:t>隐性壁垒。部分越南大型医院在招标中要求产品须同时获得欧盟CE认证和美国FDA认证，这一以外国标准为门槛的做法实际上可能排除仅持有越南MOH注册证的产品。</w:t>
      </w:r>
    </w:p>
    <w:p w14:paraId="15DEA00B">
      <w:pPr>
        <w:pStyle w:val="26"/>
        <w:numPr>
          <w:ilvl w:val="2"/>
          <w:numId w:val="1"/>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泰国</w:t>
      </w:r>
    </w:p>
    <w:p w14:paraId="219E58E2">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泰国医疗器械监管的顶层法律为《医疗器械法 B.E. 2551 (2008)》，后续历经 B.E. 2562 (2019)、B.E. 2566 (2023) 两次重要修订，逐步完善监管框架并全面对接《东盟医疗器械指令》（AMDD）。</w:t>
      </w:r>
      <w:r>
        <w:rPr>
          <w:rFonts w:hint="eastAsia" w:ascii="Times New Roman" w:hAnsi="Times New Roman"/>
          <w:sz w:val="28"/>
          <w:szCs w:val="28"/>
          <w:lang w:val="en-GB"/>
        </w:rPr>
        <w:t>泰国医疗器械主管机构为</w:t>
      </w:r>
      <w:r>
        <w:rPr>
          <w:rFonts w:ascii="Times New Roman" w:hAnsi="Times New Roman"/>
          <w:sz w:val="28"/>
          <w:szCs w:val="28"/>
          <w:lang w:val="en-GB"/>
        </w:rPr>
        <w:t>泰国公共卫生部（Ministry of Public Health, MOPH）下属的泰国食品药品监督管理局（Thai Food and Drug Administration, TFDA）</w:t>
      </w:r>
      <w:r>
        <w:rPr>
          <w:rFonts w:hint="eastAsia" w:ascii="Times New Roman" w:hAnsi="Times New Roman"/>
          <w:sz w:val="28"/>
          <w:szCs w:val="28"/>
          <w:lang w:val="en-GB"/>
        </w:rPr>
        <w:t>，</w:t>
      </w:r>
      <w:r>
        <w:rPr>
          <w:rFonts w:ascii="Times New Roman" w:hAnsi="Times New Roman"/>
          <w:sz w:val="28"/>
          <w:szCs w:val="28"/>
          <w:lang w:val="en-GB"/>
        </w:rPr>
        <w:t>负责产品注册审批、经营资质许可、上市后监督、市场稽查与缺陷召回等核心职能</w:t>
      </w:r>
      <w:r>
        <w:rPr>
          <w:rFonts w:hint="eastAsia" w:ascii="Times New Roman" w:hAnsi="Times New Roman"/>
          <w:sz w:val="28"/>
          <w:szCs w:val="28"/>
          <w:lang w:val="en-GB"/>
        </w:rPr>
        <w:t>。</w:t>
      </w:r>
    </w:p>
    <w:p w14:paraId="29B418D4">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泰国医疗器械监管设置有</w:t>
      </w:r>
      <w:r>
        <w:rPr>
          <w:rFonts w:ascii="Times New Roman" w:hAnsi="Times New Roman"/>
          <w:sz w:val="28"/>
          <w:szCs w:val="28"/>
        </w:rPr>
        <w:t>当地代表制度</w:t>
      </w:r>
      <w:r>
        <w:rPr>
          <w:rFonts w:hint="eastAsia" w:ascii="Times New Roman" w:hAnsi="Times New Roman"/>
          <w:sz w:val="28"/>
          <w:szCs w:val="28"/>
        </w:rPr>
        <w:t>，</w:t>
      </w:r>
      <w:r>
        <w:rPr>
          <w:rFonts w:ascii="Times New Roman" w:hAnsi="Times New Roman"/>
          <w:sz w:val="28"/>
          <w:szCs w:val="28"/>
        </w:rPr>
        <w:t>境外</w:t>
      </w:r>
      <w:r>
        <w:rPr>
          <w:rFonts w:hint="eastAsia" w:ascii="Times New Roman" w:hAnsi="Times New Roman"/>
          <w:sz w:val="28"/>
          <w:szCs w:val="28"/>
        </w:rPr>
        <w:t>制造商</w:t>
      </w:r>
      <w:r>
        <w:rPr>
          <w:rFonts w:ascii="Times New Roman" w:hAnsi="Times New Roman"/>
          <w:sz w:val="28"/>
          <w:szCs w:val="28"/>
        </w:rPr>
        <w:t>必须指定一位在泰国境内合法注册的授权代理人</w:t>
      </w:r>
      <w:r>
        <w:rPr>
          <w:rFonts w:hint="eastAsia" w:ascii="Times New Roman" w:hAnsi="Times New Roman"/>
          <w:sz w:val="28"/>
          <w:szCs w:val="28"/>
        </w:rPr>
        <w:t>，</w:t>
      </w:r>
      <w:r>
        <w:rPr>
          <w:rFonts w:ascii="Times New Roman" w:hAnsi="Times New Roman"/>
          <w:sz w:val="28"/>
          <w:szCs w:val="28"/>
        </w:rPr>
        <w:t>由其作为法定持证主体，承担产品全生命周期的合规责任。</w:t>
      </w:r>
      <w:r>
        <w:rPr>
          <w:rFonts w:hint="eastAsia" w:ascii="Times New Roman" w:hAnsi="Times New Roman"/>
          <w:sz w:val="28"/>
          <w:szCs w:val="28"/>
        </w:rPr>
        <w:t>授权代理人</w:t>
      </w:r>
      <w:r>
        <w:rPr>
          <w:rFonts w:ascii="Times New Roman" w:hAnsi="Times New Roman"/>
          <w:sz w:val="28"/>
          <w:szCs w:val="28"/>
        </w:rPr>
        <w:t>至少配备一名具有医疗器械法规背景的专业人员，该人员需熟悉TFDA的电子申报系统（e-licensing）、产品分类规则以及上市后监管要求。</w:t>
      </w:r>
    </w:p>
    <w:p w14:paraId="27DF5F72">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上市准入合规</w:t>
      </w:r>
    </w:p>
    <w:p w14:paraId="3F5D6391">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境外实体或个人须指定泰国本地授权代表进行注册，代表须为泰国居民或泰国合法注册实体。进口商须同时取得经营场所许可证和产品许可证。泰国采用AMDD框架的四级分类</w:t>
      </w:r>
      <w:r>
        <w:rPr>
          <w:rFonts w:hint="eastAsia" w:ascii="Times New Roman" w:hAnsi="Times New Roman"/>
          <w:sz w:val="28"/>
          <w:szCs w:val="28"/>
        </w:rPr>
        <w:t>，将医疗器械分为</w:t>
      </w:r>
      <w:r>
        <w:rPr>
          <w:rFonts w:ascii="Times New Roman" w:hAnsi="Times New Roman"/>
          <w:sz w:val="28"/>
          <w:szCs w:val="28"/>
        </w:rPr>
        <w:t>Class 1（低风险）、Class 2（中低风险）、Class 3（中高风险）、Class 4（高风险）</w:t>
      </w:r>
      <w:r>
        <w:rPr>
          <w:rFonts w:hint="eastAsia" w:ascii="Times New Roman" w:hAnsi="Times New Roman"/>
          <w:sz w:val="28"/>
          <w:szCs w:val="28"/>
        </w:rPr>
        <w:t>四类。</w:t>
      </w:r>
      <w:r>
        <w:rPr>
          <w:rFonts w:ascii="Times New Roman" w:hAnsi="Times New Roman"/>
          <w:sz w:val="28"/>
          <w:szCs w:val="28"/>
        </w:rPr>
        <w:t>Class 1器械通过上市（Listing）路径，符合条件的可自动审批</w:t>
      </w:r>
      <w:r>
        <w:rPr>
          <w:rFonts w:hint="eastAsia" w:ascii="Times New Roman" w:hAnsi="Times New Roman"/>
          <w:sz w:val="28"/>
          <w:szCs w:val="28"/>
        </w:rPr>
        <w:t>。</w:t>
      </w:r>
      <w:r>
        <w:rPr>
          <w:rFonts w:ascii="Times New Roman" w:hAnsi="Times New Roman"/>
          <w:sz w:val="28"/>
          <w:szCs w:val="28"/>
        </w:rPr>
        <w:t>自2025年1月起，符合条件的Class 1器械通过e-Submission系统提交后自动审批，适用于TFDA正面清单中的低风险器械。Class 2和Class 3通过通知（Notification）路径，</w:t>
      </w:r>
      <w:r>
        <w:rPr>
          <w:rFonts w:hint="eastAsia" w:ascii="Times New Roman" w:hAnsi="Times New Roman"/>
          <w:sz w:val="28"/>
          <w:szCs w:val="28"/>
        </w:rPr>
        <w:t>由</w:t>
      </w:r>
      <w:r>
        <w:rPr>
          <w:rFonts w:ascii="Times New Roman" w:hAnsi="Times New Roman"/>
          <w:sz w:val="28"/>
          <w:szCs w:val="28"/>
        </w:rPr>
        <w:t>TFDA</w:t>
      </w:r>
      <w:r>
        <w:rPr>
          <w:rFonts w:hint="eastAsia" w:ascii="Times New Roman" w:hAnsi="Times New Roman"/>
          <w:sz w:val="28"/>
          <w:szCs w:val="28"/>
        </w:rPr>
        <w:t>审评；</w:t>
      </w:r>
      <w:r>
        <w:rPr>
          <w:rFonts w:ascii="Times New Roman" w:hAnsi="Times New Roman"/>
          <w:sz w:val="28"/>
          <w:szCs w:val="28"/>
        </w:rPr>
        <w:t>Class 4通过许可（License）路径，</w:t>
      </w:r>
      <w:r>
        <w:rPr>
          <w:rFonts w:hint="eastAsia" w:ascii="Times New Roman" w:hAnsi="Times New Roman"/>
          <w:sz w:val="28"/>
          <w:szCs w:val="28"/>
        </w:rPr>
        <w:t>由</w:t>
      </w:r>
      <w:r>
        <w:rPr>
          <w:rFonts w:ascii="Times New Roman" w:hAnsi="Times New Roman"/>
          <w:sz w:val="28"/>
          <w:szCs w:val="28"/>
        </w:rPr>
        <w:t>TFDA全面审评。对于已获得欧盟 CE（MDR）、美国 FDA、新加坡 HSA、澳大利亚 TGA 等主流监管机构正式批准的产品，可申请快速通道审评，大幅简化技术资料要求</w:t>
      </w:r>
      <w:r>
        <w:rPr>
          <w:rFonts w:hint="eastAsia" w:ascii="Times New Roman" w:hAnsi="Times New Roman"/>
          <w:sz w:val="28"/>
          <w:szCs w:val="28"/>
        </w:rPr>
        <w:t>。</w:t>
      </w:r>
    </w:p>
    <w:p w14:paraId="7CC192A1">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进口合规</w:t>
      </w:r>
    </w:p>
    <w:p w14:paraId="29232C57">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中国制造商无法自行向泰国海关申报医疗器械进口。泰国法律要求进口许可的申请人及进口场所许可证的持有人必须是泰国公民或泰国合法注册的法人实体，境外制造商必须通过持有泰国食品药品监督管理局（TFDA）颁发的进口场所许可证的本地进口商或授权代表完成进口。每批货物进口前需通过 TFDA 的 e-Submission 系统申请逐票进口许可（LPI，License per Invoice），获取 LPI 后方可启动报关流程</w:t>
      </w:r>
      <w:r>
        <w:rPr>
          <w:rFonts w:hint="eastAsia" w:ascii="Times New Roman" w:hAnsi="Times New Roman"/>
          <w:sz w:val="28"/>
          <w:szCs w:val="28"/>
        </w:rPr>
        <w:t>。</w:t>
      </w:r>
    </w:p>
    <w:p w14:paraId="77D25DCD">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口岸执法层面，泰国海关负责常规关税申报与税费征管，但 TFDA 在所有主要入境口岸均设有专门的食品药品检查点，直接参与医疗器械的口岸查验。海关查验重点包括实物产品的型号、规格、制造商信息与申报文件及上市许可的一致性，以及产品是否已完成TFDA注册。Class C、D 类中高风险产品的开箱查验概率显著高于低风险产品。标签须提供泰语版本，家用医疗器械标签和说明书自2026年6月20日起强制要求泰语。</w:t>
      </w:r>
    </w:p>
    <w:p w14:paraId="4568D734">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上市后持续合规义务</w:t>
      </w:r>
    </w:p>
    <w:p w14:paraId="6214B84F">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泰国上市后监管全面落实 AMDD 的上市后预警系统（PMAS）框架，由 TFDA</w:t>
      </w:r>
      <w:r>
        <w:rPr>
          <w:rFonts w:hint="eastAsia" w:ascii="Times New Roman" w:hAnsi="Times New Roman"/>
          <w:sz w:val="28"/>
          <w:szCs w:val="28"/>
        </w:rPr>
        <w:t>负责执法。</w:t>
      </w:r>
      <w:r>
        <w:rPr>
          <w:rFonts w:ascii="Times New Roman" w:hAnsi="Times New Roman"/>
          <w:sz w:val="28"/>
          <w:szCs w:val="28"/>
        </w:rPr>
        <w:t>制造商和进口商须向TFDA报告不良事件。报告时限与AMDD框架一致，根据事件严重程度分级。2026年1月修订的记录保存和年度报告规则要求经营场所建立完整的流通记录。部分指定器械（含汞器械、放射性器械、49种应急必需品）须每3个月提交销售报告。</w:t>
      </w:r>
    </w:p>
    <w:p w14:paraId="4FEFA768">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经营合规</w:t>
      </w:r>
    </w:p>
    <w:p w14:paraId="37F63286">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经营主体资质方面，生产或进口医疗器械须同时取得经营场所许可证和产品许可证。进口商在取得进口许可的同时，销售许可视为同步授予，无需单独申请销售许可证，但须向卫生部履行一定的申报义务。需要特别注意的是，根据泰国FDA的规定，以下特定产品即使由进口商进口，仍须单独取得销售许可证（Selling License）：HIV检测试剂盒、血袋、眼科粘弹剂（OVD）、牙齿美白设备、硅胶乳房植入物、注射用透明质酸真皮填充剂，以及包括牙种植体、正畸托槽、正畸弓丝、透明牙套、牙科填充材料、印模材料、人工牙、氟化物清漆在内的多种牙科医疗器械，以及气道正压（PAP）设备。</w:t>
      </w:r>
    </w:p>
    <w:p w14:paraId="795E839E">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广告合规方面</w:t>
      </w:r>
      <w:r>
        <w:rPr>
          <w:rFonts w:hint="eastAsia" w:ascii="Times New Roman" w:hAnsi="Times New Roman"/>
          <w:sz w:val="28"/>
          <w:szCs w:val="28"/>
        </w:rPr>
        <w:t>，</w:t>
      </w:r>
      <w:r>
        <w:rPr>
          <w:rFonts w:ascii="Times New Roman" w:hAnsi="Times New Roman"/>
          <w:sz w:val="28"/>
          <w:szCs w:val="28"/>
        </w:rPr>
        <w:t>所有面向公众的医疗器械广告发布前必须提交 TFDA 审查并取得官方广告批准文号，广告许可有效期最长为 3 年</w:t>
      </w:r>
      <w:r>
        <w:rPr>
          <w:rFonts w:hint="eastAsia" w:ascii="Times New Roman" w:hAnsi="Times New Roman"/>
          <w:sz w:val="28"/>
          <w:szCs w:val="28"/>
        </w:rPr>
        <w:t>。医疗器械广告</w:t>
      </w:r>
      <w:r>
        <w:rPr>
          <w:rFonts w:ascii="Times New Roman" w:hAnsi="Times New Roman"/>
          <w:sz w:val="28"/>
          <w:szCs w:val="28"/>
        </w:rPr>
        <w:t>禁止医疗专业人员为医疗器械做代言或背书。广告内容须客观、完整且不具误导性</w:t>
      </w:r>
      <w:r>
        <w:rPr>
          <w:rFonts w:hint="eastAsia" w:ascii="Times New Roman" w:hAnsi="Times New Roman"/>
          <w:sz w:val="28"/>
          <w:szCs w:val="28"/>
        </w:rPr>
        <w:t>，</w:t>
      </w:r>
      <w:r>
        <w:rPr>
          <w:rFonts w:ascii="Times New Roman" w:hAnsi="Times New Roman"/>
          <w:sz w:val="28"/>
          <w:szCs w:val="28"/>
        </w:rPr>
        <w:t>不得含有虚假或夸大其词的内容，不得对器械的功效、质量、数量、标准、成分或来源作出超出事实的陈述。</w:t>
      </w:r>
    </w:p>
    <w:p w14:paraId="74DDE2E8">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泰国反腐败法律体系包括《反腐败法》B.E. 2561（2018） 和《刑法典》 中的贿赂条款。向政府官员提供利益以诱导其履行或不履行职责、或延迟履行职责的行为构成贿赂罪。政府或公立医院的医疗专业人员被视为政府官员，受《反腐败法》约束。药品和医疗器械行业被限制向官员提供或提议提供财产或利益，例外情形仅限于传统或惯例场合。</w:t>
      </w:r>
    </w:p>
    <w:p w14:paraId="0DF78FCF">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《个人数据保护法》B.E. 2562（2019） 适用于医疗器械领域，特别是患者可识别信息的存储和传输。健康数据属于敏感个人数据，处理须获得数据主体的明确同意，临床活动可能依据法定豁免处理敏感个人数据，但营销、个性化推荐和前后对比照片的使用等场景，通常需要获得明确同意。跨境传输个人数据须确保接收国具有充分的数据保护水平，或采取适当的保障措施。</w:t>
      </w:r>
    </w:p>
    <w:p w14:paraId="7AFD0E2D">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贸易政策等其他需关注的情况</w:t>
      </w:r>
    </w:p>
    <w:p w14:paraId="7757758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目前，</w:t>
      </w:r>
      <w:r>
        <w:rPr>
          <w:rFonts w:ascii="Times New Roman" w:hAnsi="Times New Roman"/>
          <w:sz w:val="28"/>
          <w:szCs w:val="28"/>
        </w:rPr>
        <w:t>泰国未对中国医疗器械发起反倾销或反补贴调查。但需关注泰国对进口商品税收政策的收紧趋势。泰国推动Made in Thailand政策</w:t>
      </w:r>
      <w:r>
        <w:rPr>
          <w:rFonts w:hint="eastAsia" w:ascii="Times New Roman" w:hAnsi="Times New Roman"/>
          <w:sz w:val="28"/>
          <w:szCs w:val="28"/>
        </w:rPr>
        <w:t>，</w:t>
      </w:r>
      <w:r>
        <w:rPr>
          <w:rFonts w:ascii="Times New Roman" w:hAnsi="Times New Roman"/>
          <w:sz w:val="28"/>
          <w:szCs w:val="28"/>
        </w:rPr>
        <w:t>通过政府采购和绿色采购机制优先采购本地产品。公立医院财政紧张，倾向于低价产品，同时优先考虑被列为创新的本地产品。</w:t>
      </w:r>
    </w:p>
    <w:p w14:paraId="7145E4CF">
      <w:pPr>
        <w:pStyle w:val="26"/>
        <w:numPr>
          <w:ilvl w:val="1"/>
          <w:numId w:val="6"/>
        </w:numPr>
        <w:spacing w:before="120" w:beforeLines="50" w:after="120" w:afterLines="50" w:line="360" w:lineRule="auto"/>
        <w:jc w:val="center"/>
        <w:rPr>
          <w:rFonts w:ascii="Times New Roman" w:hAnsi="Times New Roman"/>
          <w:b/>
          <w:bCs/>
          <w:sz w:val="28"/>
          <w:szCs w:val="28"/>
          <w:lang w:val="en-GB"/>
        </w:rPr>
      </w:pPr>
      <w:r>
        <w:rPr>
          <w:rFonts w:hint="eastAsia" w:ascii="Times New Roman" w:hAnsi="Times New Roman"/>
          <w:b/>
          <w:bCs/>
          <w:sz w:val="28"/>
          <w:szCs w:val="28"/>
          <w:lang w:val="en-GB"/>
        </w:rPr>
        <w:t xml:space="preserve"> 中亚地区</w:t>
      </w:r>
    </w:p>
    <w:p w14:paraId="2167CEC4">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欧亚经济联盟</w:t>
      </w:r>
      <w:r>
        <w:rPr>
          <w:rFonts w:hint="eastAsia" w:ascii="Times New Roman" w:hAnsi="Times New Roman"/>
          <w:b/>
          <w:bCs/>
          <w:sz w:val="28"/>
          <w:szCs w:val="28"/>
          <w:lang w:val="en-GB"/>
        </w:rPr>
        <w:t>通用规则</w:t>
      </w:r>
    </w:p>
    <w:p w14:paraId="2673E888">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中亚地区在医疗器械监管领域不存在覆盖所有国家的统一医疗器械监管体系，</w:t>
      </w:r>
      <w:r>
        <w:rPr>
          <w:rFonts w:hint="eastAsia" w:ascii="Times New Roman" w:hAnsi="Times New Roman"/>
          <w:sz w:val="28"/>
          <w:szCs w:val="28"/>
          <w:lang w:val="en-GB"/>
        </w:rPr>
        <w:t>但</w:t>
      </w:r>
      <w:r>
        <w:rPr>
          <w:rFonts w:ascii="Times New Roman" w:hAnsi="Times New Roman"/>
          <w:sz w:val="28"/>
          <w:szCs w:val="28"/>
          <w:lang w:val="en-GB"/>
        </w:rPr>
        <w:t>存在一个区域性</w:t>
      </w:r>
      <w:r>
        <w:rPr>
          <w:rFonts w:hint="eastAsia" w:ascii="Times New Roman" w:hAnsi="Times New Roman"/>
          <w:sz w:val="28"/>
          <w:szCs w:val="28"/>
          <w:lang w:val="en-GB"/>
        </w:rPr>
        <w:t>监管</w:t>
      </w:r>
      <w:r>
        <w:rPr>
          <w:rFonts w:ascii="Times New Roman" w:hAnsi="Times New Roman"/>
          <w:sz w:val="28"/>
          <w:szCs w:val="28"/>
          <w:lang w:val="en-GB"/>
        </w:rPr>
        <w:t>框架，即欧亚经济联盟（EAEU）。EAEU是一个由五个成员国组成的单一市场经济集团</w:t>
      </w:r>
      <w:r>
        <w:rPr>
          <w:rFonts w:hint="eastAsia" w:ascii="Times New Roman" w:hAnsi="Times New Roman"/>
          <w:sz w:val="28"/>
          <w:szCs w:val="28"/>
          <w:lang w:val="en-GB"/>
        </w:rPr>
        <w:t>，具体包括</w:t>
      </w:r>
      <w:r>
        <w:rPr>
          <w:rFonts w:ascii="Times New Roman" w:hAnsi="Times New Roman"/>
          <w:sz w:val="28"/>
          <w:szCs w:val="28"/>
          <w:lang w:val="en-GB"/>
        </w:rPr>
        <w:t>俄罗斯、白俄罗斯、哈萨克斯坦、亚美尼亚和吉尔吉斯斯坦</w:t>
      </w:r>
      <w:r>
        <w:rPr>
          <w:rFonts w:hint="eastAsia" w:ascii="Times New Roman" w:hAnsi="Times New Roman"/>
          <w:sz w:val="28"/>
          <w:szCs w:val="28"/>
          <w:lang w:val="en-GB"/>
        </w:rPr>
        <w:t>。</w:t>
      </w:r>
      <w:r>
        <w:rPr>
          <w:rFonts w:ascii="Times New Roman" w:hAnsi="Times New Roman"/>
          <w:sz w:val="28"/>
          <w:szCs w:val="28"/>
          <w:lang w:val="en-GB"/>
        </w:rPr>
        <w:t>EAEU的医疗器械监管框架由2014年12月23日签署的《关于医疗器械流通统一原则和规则的协定》建立</w:t>
      </w:r>
      <w:r>
        <w:rPr>
          <w:rFonts w:hint="eastAsia" w:ascii="Times New Roman" w:hAnsi="Times New Roman"/>
          <w:sz w:val="28"/>
          <w:szCs w:val="28"/>
          <w:lang w:val="en-GB"/>
        </w:rPr>
        <w:t>。</w:t>
      </w:r>
    </w:p>
    <w:p w14:paraId="62699686">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EAEU提供了统一统一风险分类标准</w:t>
      </w:r>
      <w:r>
        <w:rPr>
          <w:rFonts w:hint="eastAsia" w:ascii="Times New Roman" w:hAnsi="Times New Roman"/>
          <w:sz w:val="28"/>
          <w:szCs w:val="28"/>
          <w:lang w:val="en-GB"/>
        </w:rPr>
        <w:t>、</w:t>
      </w:r>
      <w:r>
        <w:rPr>
          <w:rFonts w:ascii="Times New Roman" w:hAnsi="Times New Roman"/>
          <w:sz w:val="28"/>
          <w:szCs w:val="28"/>
          <w:lang w:val="en-GB"/>
        </w:rPr>
        <w:t>注册框架</w:t>
      </w:r>
      <w:r>
        <w:rPr>
          <w:rFonts w:hint="eastAsia" w:ascii="Times New Roman" w:hAnsi="Times New Roman"/>
          <w:sz w:val="28"/>
          <w:szCs w:val="28"/>
          <w:lang w:val="en-GB"/>
        </w:rPr>
        <w:t>、</w:t>
      </w:r>
      <w:r>
        <w:rPr>
          <w:rFonts w:ascii="Times New Roman" w:hAnsi="Times New Roman"/>
          <w:sz w:val="28"/>
          <w:szCs w:val="28"/>
          <w:lang w:val="en-GB"/>
        </w:rPr>
        <w:t>上市后监管基本原则，但各成员国的清关、税费、上市后监管执法和经营合规仍由各国国内法独立规制。EAEU框架的核心价值在于</w:t>
      </w:r>
      <w:r>
        <w:rPr>
          <w:rFonts w:hint="eastAsia" w:ascii="Times New Roman" w:hAnsi="Times New Roman"/>
          <w:sz w:val="28"/>
          <w:szCs w:val="28"/>
          <w:lang w:val="en-GB"/>
        </w:rPr>
        <w:t>，</w:t>
      </w:r>
      <w:r>
        <w:rPr>
          <w:rFonts w:ascii="Times New Roman" w:hAnsi="Times New Roman"/>
          <w:sz w:val="28"/>
          <w:szCs w:val="28"/>
          <w:lang w:val="en-GB"/>
        </w:rPr>
        <w:t>制造商一旦完成注册，即可获得一份在全部五个成员国有效的注册证书。注册流程采用</w:t>
      </w:r>
      <w:r>
        <w:rPr>
          <w:rFonts w:hint="eastAsia" w:ascii="Times New Roman" w:hAnsi="Times New Roman"/>
          <w:sz w:val="28"/>
          <w:szCs w:val="28"/>
          <w:lang w:val="en-GB"/>
        </w:rPr>
        <w:t>“</w:t>
      </w:r>
      <w:r>
        <w:rPr>
          <w:rFonts w:ascii="Times New Roman" w:hAnsi="Times New Roman"/>
          <w:sz w:val="28"/>
          <w:szCs w:val="28"/>
          <w:lang w:val="en-GB"/>
        </w:rPr>
        <w:t>参考国+认可国</w:t>
      </w:r>
      <w:r>
        <w:rPr>
          <w:rFonts w:hint="eastAsia" w:ascii="Times New Roman" w:hAnsi="Times New Roman"/>
          <w:sz w:val="28"/>
          <w:szCs w:val="28"/>
          <w:lang w:val="en-GB"/>
        </w:rPr>
        <w:t>”</w:t>
      </w:r>
      <w:r>
        <w:rPr>
          <w:rFonts w:ascii="Times New Roman" w:hAnsi="Times New Roman"/>
          <w:sz w:val="28"/>
          <w:szCs w:val="28"/>
          <w:lang w:val="en-GB"/>
        </w:rPr>
        <w:t>模式——制造商选择一个EAEU成员国作为参考国进行主要审评，同时选择至少一个其他成员国作为认可国，参考国作出肯定决定后，认可国进行较短的认可程序，通常每个国家最多30个日历日</w:t>
      </w:r>
      <w:r>
        <w:rPr>
          <w:rFonts w:hint="eastAsia" w:ascii="Times New Roman" w:hAnsi="Times New Roman"/>
          <w:sz w:val="28"/>
          <w:szCs w:val="28"/>
          <w:lang w:val="en-GB"/>
        </w:rPr>
        <w:t>。</w:t>
      </w:r>
      <w:r>
        <w:rPr>
          <w:rFonts w:ascii="Times New Roman" w:hAnsi="Times New Roman"/>
          <w:sz w:val="28"/>
          <w:szCs w:val="28"/>
          <w:lang w:val="en-GB"/>
        </w:rPr>
        <w:t>但需注意，EAEU框架尚未完全取代各国的国家注册体系。从国家注册向统一EAEU体系的过渡已被多次延长。</w:t>
      </w:r>
    </w:p>
    <w:p w14:paraId="30E42C0A">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俄罗斯</w:t>
      </w:r>
    </w:p>
    <w:p w14:paraId="6A929912">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俄罗斯医疗器械监管以2011年11月21日第323-FZ号联邦法律《关于俄罗斯联邦公民健康保护基础》 第38条为顶层法律依据。核心执行法规为 2024 年 11 月俄罗斯联邦政府第 1684 号决议批准的《医疗器械国家注册规则》，该规则于 2025 年 3 月正式生效，全面对接欧亚经济联盟（EAEU）统一注册制度，同时保留了本国独立注册路径。</w:t>
      </w:r>
    </w:p>
    <w:p w14:paraId="327F0CAA">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俄罗斯联邦卫生监督局（Roszdravnadzor）是医疗器械全生命周期监管的主管机构，统一负责产品注册审批、经营资质许可、上市后监督、市场稽查与缺陷召回等所有监管职能，在各联邦主体设有分支机构，负责属地日常监管。</w:t>
      </w:r>
    </w:p>
    <w:p w14:paraId="2119B316">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上市准入合规</w:t>
      </w:r>
    </w:p>
    <w:p w14:paraId="1C3BD910">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俄罗斯目前提供两条并行路径：国家注册依据第1684号政府决议，颁发的RZN注册证书无限期有效但仅覆盖俄罗斯市场；EAEU注册依据欧亚经济委员会第46号决议，获得的注册证书在全部选定的EAEU成员国有效。仅计划在俄罗斯销售、需要更快审批或预期频繁进行产品变更的制造商，可选择国家注册路径。两类注册均需提交符合 EAEU 统一要求的全套技术文档，核心包括产品描述与工作原理、符合 ISO 14971 标准的风险管理报告、设计验证与确认报告、临床评价报告、ISO 13485 质量管理体系认证证书、俄语的标签与使用说明书样稿、产品符合性声明等。对于已获得欧盟 CE、美国 FDA 等主流监管机构批准的产品，可申请简化审评路径，减少重复技术资料提交</w:t>
      </w:r>
      <w:r>
        <w:rPr>
          <w:rFonts w:hint="eastAsia" w:ascii="Times New Roman" w:hAnsi="Times New Roman"/>
          <w:sz w:val="28"/>
          <w:szCs w:val="28"/>
          <w:lang w:val="en-GB"/>
        </w:rPr>
        <w:t>，</w:t>
      </w:r>
      <w:r>
        <w:rPr>
          <w:rFonts w:ascii="Times New Roman" w:hAnsi="Times New Roman"/>
          <w:sz w:val="28"/>
          <w:szCs w:val="28"/>
          <w:lang w:val="en-GB"/>
        </w:rPr>
        <w:t>但须补充与EAEU标准的差异分析。</w:t>
      </w:r>
    </w:p>
    <w:p w14:paraId="2634022B">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俄罗斯按照 EAEU 统一标准将医疗器械按风险等级分为 Class 1（低风险）、Class 2a（中低风险）、Class 2b（中高风险）、Class 3（高风险）四类，风险等级越高，注册审评要求越严格、周期越长。法律要求境外制造商必须指定一名在俄罗斯境内注册的法人实体作为其授权代表，该代表须获得制造商签发的授权委托书，委托书中须明确授权其代表制造商处理医疗器械在俄境内流通的全部事务</w:t>
      </w:r>
      <w:r>
        <w:rPr>
          <w:rFonts w:hint="eastAsia" w:ascii="Times New Roman" w:hAnsi="Times New Roman"/>
          <w:sz w:val="28"/>
          <w:szCs w:val="28"/>
          <w:lang w:val="en-GB"/>
        </w:rPr>
        <w:t>，</w:t>
      </w:r>
      <w:r>
        <w:rPr>
          <w:rFonts w:ascii="Times New Roman" w:hAnsi="Times New Roman"/>
          <w:sz w:val="28"/>
          <w:szCs w:val="28"/>
          <w:lang w:val="en-GB"/>
        </w:rPr>
        <w:t>包括与Roszdravnadzor及各联邦执行机关交涉、组织必要的测试与研究、签署注册与符合性评估所需的全部文件、接收注册证书及样品进口许可等</w:t>
      </w:r>
      <w:r>
        <w:rPr>
          <w:rFonts w:hint="eastAsia" w:ascii="Times New Roman" w:hAnsi="Times New Roman"/>
          <w:sz w:val="28"/>
          <w:szCs w:val="28"/>
          <w:lang w:val="en-GB"/>
        </w:rPr>
        <w:t>。</w:t>
      </w:r>
    </w:p>
    <w:p w14:paraId="3C7A3FAB">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进口合规</w:t>
      </w:r>
    </w:p>
    <w:p w14:paraId="38E95A43">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中国制造商无法自行向俄罗斯海关申报医疗器械进口，必须通过俄罗斯境内的</w:t>
      </w:r>
      <w:r>
        <w:rPr>
          <w:rFonts w:hint="eastAsia" w:ascii="Times New Roman" w:hAnsi="Times New Roman"/>
          <w:sz w:val="28"/>
          <w:szCs w:val="28"/>
        </w:rPr>
        <w:t>授权代理</w:t>
      </w:r>
      <w:r>
        <w:rPr>
          <w:rFonts w:ascii="Times New Roman" w:hAnsi="Times New Roman"/>
          <w:sz w:val="28"/>
          <w:szCs w:val="28"/>
        </w:rPr>
        <w:t>或本地进口商完成</w:t>
      </w:r>
      <w:r>
        <w:rPr>
          <w:rFonts w:hint="eastAsia" w:ascii="Times New Roman" w:hAnsi="Times New Roman"/>
          <w:sz w:val="28"/>
          <w:szCs w:val="28"/>
        </w:rPr>
        <w:t>，</w:t>
      </w:r>
      <w:r>
        <w:rPr>
          <w:rFonts w:ascii="Times New Roman" w:hAnsi="Times New Roman"/>
          <w:sz w:val="28"/>
          <w:szCs w:val="28"/>
        </w:rPr>
        <w:t>进口申报统一通过俄罗斯海关官方电子申报系统提交</w:t>
      </w:r>
      <w:r>
        <w:rPr>
          <w:rFonts w:hint="eastAsia" w:ascii="Times New Roman" w:hAnsi="Times New Roman"/>
          <w:sz w:val="28"/>
          <w:szCs w:val="28"/>
        </w:rPr>
        <w:t>。</w:t>
      </w:r>
    </w:p>
    <w:p w14:paraId="0F64A8EC">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口岸执法层面，俄罗斯联邦海关署是日常清关的法定执法主体</w:t>
      </w:r>
      <w:r>
        <w:rPr>
          <w:rFonts w:hint="eastAsia" w:ascii="Times New Roman" w:hAnsi="Times New Roman"/>
          <w:sz w:val="28"/>
          <w:szCs w:val="28"/>
        </w:rPr>
        <w:t>，</w:t>
      </w:r>
      <w:r>
        <w:rPr>
          <w:rFonts w:ascii="Times New Roman" w:hAnsi="Times New Roman"/>
          <w:sz w:val="28"/>
          <w:szCs w:val="28"/>
        </w:rPr>
        <w:t>海关查验重点包括进口目的与实际用途的一致性、产品信息与注册档案的匹配性，以及进口通知或进口许可的有效性。</w:t>
      </w:r>
    </w:p>
    <w:p w14:paraId="6B389FB1">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上市后持续合规义务</w:t>
      </w:r>
    </w:p>
    <w:p w14:paraId="36B153BD">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俄罗斯上市后监管全面落实 EAEU 统一框架要求，由 Roszdravnadzor 统一监督执行</w:t>
      </w:r>
      <w:r>
        <w:rPr>
          <w:rFonts w:hint="eastAsia" w:ascii="Times New Roman" w:hAnsi="Times New Roman"/>
          <w:sz w:val="28"/>
          <w:szCs w:val="28"/>
        </w:rPr>
        <w:t>。</w:t>
      </w:r>
      <w:r>
        <w:rPr>
          <w:rFonts w:ascii="Times New Roman" w:hAnsi="Times New Roman"/>
          <w:sz w:val="28"/>
          <w:szCs w:val="28"/>
        </w:rPr>
        <w:t>境外制造商无法直接在俄境内履行合规义务，必须指定本地授权代表作为法定对接主体</w:t>
      </w:r>
      <w:r>
        <w:rPr>
          <w:rFonts w:hint="eastAsia" w:ascii="Times New Roman" w:hAnsi="Times New Roman"/>
          <w:sz w:val="28"/>
          <w:szCs w:val="28"/>
        </w:rPr>
        <w:t>。</w:t>
      </w:r>
      <w:r>
        <w:rPr>
          <w:rFonts w:ascii="Times New Roman" w:hAnsi="Times New Roman"/>
          <w:sz w:val="28"/>
          <w:szCs w:val="28"/>
        </w:rPr>
        <w:t>企业需建立完整的上市后警戒体系，配置专职器械警戒人员，通过 Roszdravnadzor 统一电子警戒系统提交不良事件报告</w:t>
      </w:r>
      <w:r>
        <w:rPr>
          <w:rFonts w:hint="eastAsia" w:ascii="Times New Roman" w:hAnsi="Times New Roman"/>
          <w:sz w:val="28"/>
          <w:szCs w:val="28"/>
        </w:rPr>
        <w:t>，</w:t>
      </w:r>
      <w:r>
        <w:rPr>
          <w:rFonts w:ascii="Times New Roman" w:hAnsi="Times New Roman"/>
          <w:sz w:val="28"/>
          <w:szCs w:val="28"/>
        </w:rPr>
        <w:t>报告在俄罗斯联邦境内及其他国家境内医疗器械流通的所有阶段所发现的一切不良事件。针对产品安全缺陷，授权代表需第一时间启动风险评估，确认存在缺陷的需立即制定分级召回计划，通知所有下游经销商、医疗机构与使用者，主动开展召回并定期向监管部门更新执行进度</w:t>
      </w:r>
      <w:r>
        <w:rPr>
          <w:rFonts w:hint="eastAsia" w:ascii="Times New Roman" w:hAnsi="Times New Roman"/>
          <w:sz w:val="28"/>
          <w:szCs w:val="28"/>
        </w:rPr>
        <w:t>。</w:t>
      </w:r>
      <w:r>
        <w:rPr>
          <w:rFonts w:ascii="Times New Roman" w:hAnsi="Times New Roman"/>
          <w:sz w:val="28"/>
          <w:szCs w:val="28"/>
        </w:rPr>
        <w:t>Roszdravnadzor 有权根据风险等级启动强制召回</w:t>
      </w:r>
      <w:r>
        <w:rPr>
          <w:rFonts w:hint="eastAsia" w:ascii="Times New Roman" w:hAnsi="Times New Roman"/>
          <w:sz w:val="28"/>
          <w:szCs w:val="28"/>
        </w:rPr>
        <w:t>。</w:t>
      </w:r>
      <w:r>
        <w:rPr>
          <w:rFonts w:ascii="Times New Roman" w:hAnsi="Times New Roman"/>
          <w:sz w:val="28"/>
          <w:szCs w:val="28"/>
        </w:rPr>
        <w:t>此外，Roszdravnadzor 可对本地流通主体的经营场所、仓储场地开展例行或无预警飞行检查，也可对境外制造商生产场地开展跨境核查，检查覆盖质量管理体系执行情况、产品追溯记录、上市后义务落实情况等，检查不合格的将责令限期整改，整改不到位的可暂停产品销售直至吊销相关资质。</w:t>
      </w:r>
    </w:p>
    <w:p w14:paraId="7362F52D">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经营合规</w:t>
      </w:r>
    </w:p>
    <w:p w14:paraId="3664C432">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医疗器械经营主体资质方面，</w:t>
      </w:r>
      <w:r>
        <w:rPr>
          <w:rFonts w:ascii="Times New Roman" w:hAnsi="Times New Roman"/>
          <w:sz w:val="28"/>
          <w:szCs w:val="28"/>
        </w:rPr>
        <w:t>据2011年5月4日第99-FZ号联邦法律《关于特定活动类型的许可》，医疗器械的销售不纳入许可管理范围，即从事医疗器械批发或零售无需取得专门的经营许可证。但医疗器械的生产和技术维护须取得许可，依据2013年6月3日第469号政府决议，生产医疗设备及提供技术维护服务（企业自用维护除外）须获得许可证。</w:t>
      </w:r>
    </w:p>
    <w:p w14:paraId="288DA720">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广告合规方面，2006年3月13日第38-FZ号联邦法律《广告法》第24条对医疗器械广告作出严格规制。医疗器械和医疗设备的广告仅允许在医学或药学展览会、研讨会、会议及类似活动现场，以及面向医疗和药学工作者的专业印刷出版物中发布，不得面向普通消费者。广告中关于器械特性和使用方法的陈述仅允许在经批准的说明书所载适应症范围内进行。广告不得面向未成年人，不得通过引用注册所需研究的事实来制造产品优势的印象，不得制造健康人需要使用的印象，不得声称无需就医，不得保证肯定效果或无副作用。违反上述要求的，依据《行政违法法典》第14.3条第5款追究广告主责任。</w:t>
      </w:r>
    </w:p>
    <w:p w14:paraId="120A681B">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反腐败合规方面，第323-FZ号法律第74条对医务工作者和药学工作者施加了严格的限制：禁止接受从事医疗器械研发、生产和/或销售的组织及其代表的礼品、金钱（临床试验报酬和教学科研活动报酬除外），包括支付娱乐、休息、旅行费用，以及参与由上述公司出资的娱乐活动。禁止与公司签订关于向患者推荐或指定医疗器械的协议，禁止接受公司提供的医疗器械样品用于分发给患者（临床试验相关的除外），禁止在指定疗程时向患者提供不准确或不完整的信息。Roszdravnadzor已将上述限制纳入检查清单，在流通检查中审查医疗机构是否存在来自医疗器械公司的纪念品和赠品。</w:t>
      </w:r>
    </w:p>
    <w:p w14:paraId="0208A94D">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数据保护合规方面，2006年7月27日第152-FZ号联邦法律《个人数据法》要求俄罗斯公民的个人数据（包括健康数据和遗传信息）在物理位于俄罗斯境内的服务器上处理和存储。医疗保密属于特殊类别的个人数据，需要最高级别的保护基础设施。涉及患者数据采集的医疗器械软件，尤其是云端解决方案，须在系统架构设计阶段即考虑数据本地化要求。未在俄罗斯境内存储数据的，非居民应用开发者可能面临最高600万卢布的罚款。</w:t>
      </w:r>
    </w:p>
    <w:p w14:paraId="52C78DF3">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贸易政策等其他需关注的情况</w:t>
      </w:r>
    </w:p>
    <w:p w14:paraId="58D7C74F">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俄罗斯历史上曾于2009年拟对中国一次性注射器发起保障措施调查，但近年来未对中国医疗器械发起新的贸易救济调查。当前主要壁垒体现为系统性的本地化政策。公立医疗系统政府采购是核心销售渠道，俄罗斯推行国产化优先政策，对在本地设厂的外资企业给予政府采购准入和税收减免等实质性倾斜，单纯以贸易方式出口的模式正在弱化。</w:t>
      </w:r>
      <w:r>
        <w:rPr>
          <w:rFonts w:hint="eastAsia" w:ascii="Times New Roman" w:hAnsi="Times New Roman"/>
          <w:sz w:val="28"/>
          <w:szCs w:val="28"/>
          <w:lang w:val="en-GB"/>
        </w:rPr>
        <w:t>此外，</w:t>
      </w:r>
      <w:r>
        <w:rPr>
          <w:rFonts w:ascii="Times New Roman" w:hAnsi="Times New Roman"/>
          <w:sz w:val="28"/>
          <w:szCs w:val="28"/>
          <w:lang w:val="en-GB"/>
        </w:rPr>
        <w:t>受地缘政治环境影响，</w:t>
      </w:r>
      <w:r>
        <w:rPr>
          <w:rFonts w:hint="eastAsia" w:ascii="Times New Roman" w:hAnsi="Times New Roman"/>
          <w:sz w:val="28"/>
          <w:szCs w:val="28"/>
          <w:lang w:val="en-GB"/>
        </w:rPr>
        <w:t>俄罗斯外贸</w:t>
      </w:r>
      <w:r>
        <w:rPr>
          <w:rFonts w:ascii="Times New Roman" w:hAnsi="Times New Roman"/>
          <w:sz w:val="28"/>
          <w:szCs w:val="28"/>
          <w:lang w:val="en-GB"/>
        </w:rPr>
        <w:t>存在外汇管制严格、支付结算链条不畅、物流周期不稳定等实操风险</w:t>
      </w:r>
      <w:r>
        <w:rPr>
          <w:rFonts w:hint="eastAsia" w:ascii="Times New Roman" w:hAnsi="Times New Roman"/>
          <w:sz w:val="28"/>
          <w:szCs w:val="28"/>
          <w:lang w:val="en-GB"/>
        </w:rPr>
        <w:t>。</w:t>
      </w:r>
    </w:p>
    <w:p w14:paraId="6C6DC60A">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哈萨克斯坦</w:t>
      </w:r>
    </w:p>
    <w:p w14:paraId="17E9D151">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哈萨克斯坦医疗器械监管实行</w:t>
      </w:r>
      <w:r>
        <w:rPr>
          <w:rFonts w:hint="eastAsia" w:ascii="Times New Roman" w:hAnsi="Times New Roman"/>
          <w:sz w:val="28"/>
          <w:szCs w:val="28"/>
          <w:lang w:val="en-GB"/>
        </w:rPr>
        <w:t>“</w:t>
      </w:r>
      <w:r>
        <w:rPr>
          <w:rFonts w:ascii="Times New Roman" w:hAnsi="Times New Roman"/>
          <w:sz w:val="28"/>
          <w:szCs w:val="28"/>
          <w:lang w:val="en-GB"/>
        </w:rPr>
        <w:t>欧亚经济联盟（EAEU）统一规则 + 本国立法</w:t>
      </w:r>
      <w:r>
        <w:rPr>
          <w:rFonts w:hint="eastAsia" w:ascii="Times New Roman" w:hAnsi="Times New Roman"/>
          <w:sz w:val="28"/>
          <w:szCs w:val="28"/>
          <w:lang w:val="en-GB"/>
        </w:rPr>
        <w:t>”</w:t>
      </w:r>
      <w:r>
        <w:rPr>
          <w:rFonts w:ascii="Times New Roman" w:hAnsi="Times New Roman"/>
          <w:sz w:val="28"/>
          <w:szCs w:val="28"/>
          <w:lang w:val="en-GB"/>
        </w:rPr>
        <w:t>的双层体系。顶层法律依据为2020年7月7日第360-VI号《人民健康与医疗体系法典》，其第 230 至 261 条专门对医疗器械的分类、注册、流通、上市后监管作出法定框架性规定</w:t>
      </w:r>
      <w:r>
        <w:rPr>
          <w:rFonts w:hint="eastAsia" w:ascii="Times New Roman" w:hAnsi="Times New Roman"/>
          <w:sz w:val="28"/>
          <w:szCs w:val="28"/>
          <w:lang w:val="en-GB"/>
        </w:rPr>
        <w:t>。</w:t>
      </w:r>
    </w:p>
    <w:p w14:paraId="6995C22C">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执法层面由哈萨克斯坦卫生部统筹，下属两大核心机构权责清晰划分</w:t>
      </w:r>
      <w:r>
        <w:rPr>
          <w:rFonts w:hint="eastAsia" w:ascii="Times New Roman" w:hAnsi="Times New Roman"/>
          <w:sz w:val="28"/>
          <w:szCs w:val="28"/>
          <w:lang w:val="en-GB"/>
        </w:rPr>
        <w:t>，</w:t>
      </w:r>
      <w:r>
        <w:rPr>
          <w:rFonts w:ascii="Times New Roman" w:hAnsi="Times New Roman"/>
          <w:sz w:val="28"/>
          <w:szCs w:val="28"/>
          <w:lang w:val="en-GB"/>
        </w:rPr>
        <w:t>实行审评与执法分离的架构。国家药品和医疗器械专家中心（NDDA，НЦЭЛС）是上市前监管的执行主体，负责注册申请受理、技术文件审评、样品检测、组织生产现场核查、颁发 EAEU 统一格式注册证书，同时承担注册后变更、续期的技术审核；医药监督委员会（Комитет медицинского и фармацевтического контроля）是上市后监管的执法主体，负责经营资质管理、市场流通稽查、不良事件监测、缺陷产品召回执法、违规处罚等，在各州设有分支机构开展属地日常监管。</w:t>
      </w:r>
    </w:p>
    <w:p w14:paraId="7EB4133E">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上市准入合规</w:t>
      </w:r>
    </w:p>
    <w:p w14:paraId="5D531B52">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境外制造商不能自行向哈萨克斯坦监管部门提交注册申请。EAEU规则明确要求，非哈萨克斯坦制造商必须指定一名位于哈萨克斯坦境内或其他EAEU成员国的授权代表，由其作为法定申请人提交注册申请并承担注册后合规责任。授权代表须为在哈合法注册的法人实体，与制造商签署正式授权协议并完成公证认证，负责与NDDA沟通、提交申请、持有注册证书、履行警戒报告义务，并在工厂检查中与制造商共同担责。中国制造商不能自行成为MAH（上市许可持有人），MAH的法律角色必须由哈萨克斯坦或EAEU境内的授权代表担任。选择一家具备医疗器械法规专业能力、能够承担全生命周期合规责任的授权代表，是中国企业进入哈萨克斯坦市场的首要战略决策。</w:t>
      </w:r>
    </w:p>
    <w:p w14:paraId="19124904">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哈萨克斯坦全面执行 EAEU 统一的四级风险分类体系，依据产品风险程度从低到高分为 1 类、2a 类、2b 类、3 类，分类规则与俄罗斯等 EAEU 成员国完全一致，分类结果直接决定审评深度、是否需要现场检查与注册成本。自 2022 年起新投放哈萨克斯坦市场的医疗器械必须申请 EAEU 统一注册，原哈萨克斯坦本土注册证书已于 2025 年底全部失效，不存在单独的本国注册路径，取得的 EAEU 统一注册证书可在所有联盟成员国境内流通使用，无需重复注册。</w:t>
      </w:r>
    </w:p>
    <w:p w14:paraId="584C04E9">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进口合规</w:t>
      </w:r>
    </w:p>
    <w:p w14:paraId="77653C9A">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中国制造商无法自行向哈萨克斯坦海关申报，报关主体必须是哈萨克斯坦境内持有药品和医疗器械批发许可的本地实体。进口商身份必须在清关环节被最终确认，哈萨克斯坦海关（国家收入委员会）与卫生部在查验中会核查进口商的批发许可有效性、授权链条完整性以及产品是否已完成EAEU注册。进口许可的申请是清关的法定前置程序</w:t>
      </w:r>
      <w:r>
        <w:rPr>
          <w:rFonts w:hint="eastAsia" w:ascii="Times New Roman" w:hAnsi="Times New Roman"/>
          <w:sz w:val="28"/>
          <w:szCs w:val="28"/>
        </w:rPr>
        <w:t>，</w:t>
      </w:r>
      <w:r>
        <w:rPr>
          <w:rFonts w:ascii="Times New Roman" w:hAnsi="Times New Roman"/>
          <w:sz w:val="28"/>
          <w:szCs w:val="28"/>
        </w:rPr>
        <w:t>申请时须提交的核心文件包括：注册医疗器械进口申请表、进口数量计算表、制造商质量文件的哈语或俄语翻译件、ISO 13485证书，以及原产国注册证明。</w:t>
      </w:r>
    </w:p>
    <w:p w14:paraId="24006182">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口岸执法层面，哈萨克斯坦海关是日常清关的法定执法主体，医药监督委员会不派员常驻口岸</w:t>
      </w:r>
      <w:r>
        <w:rPr>
          <w:rFonts w:hint="eastAsia" w:ascii="Times New Roman" w:hAnsi="Times New Roman"/>
          <w:sz w:val="28"/>
          <w:szCs w:val="28"/>
        </w:rPr>
        <w:t>。</w:t>
      </w:r>
      <w:r>
        <w:rPr>
          <w:rFonts w:ascii="Times New Roman" w:hAnsi="Times New Roman"/>
          <w:sz w:val="28"/>
          <w:szCs w:val="28"/>
        </w:rPr>
        <w:t>海关在放行医疗器械前必须向卫生部核实每一个进口产品的国家注册信息（包括注册日期和编号），未经注册的医疗器械不得进口。自2026年5月30日起，EAEU医疗器械UDI追溯系统强制实施，所有II类及以上医疗器械必须在生产环节嵌入UDI-DI和UDI-PI标识，清关时须将UDI数据提交至EAEU集中追溯平台，未预先嵌入UDI标识的产品将被拒绝海关放行。产后重新贴标或改装不被允许，标签UDI与上传数据不一致可能触发人工审查。</w:t>
      </w:r>
    </w:p>
    <w:p w14:paraId="01D2D79C">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上市后持续合规义务</w:t>
      </w:r>
    </w:p>
    <w:p w14:paraId="10A6324C">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哈萨克斯坦医疗器械上市后持续合规与经营流通监管，由卫生部下属医药监督委员会统一执法，全面落地欧亚经济联盟（EAEU）统一上市后警戒框架，同时叠加本国流通管控要求，所有合规义务均以本地授权代表为法定责任主体，中国制造商需协同授权代表落实全链条要求。</w:t>
      </w:r>
    </w:p>
    <w:p w14:paraId="19E2413A">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不良事件报告是上市后合规的核心环节。制造商或其授权代表须将医疗器械使用中的不良事件报告提交给国家专家组织（NDDA）和卫生部。报告通过专家组织的互联网资源在线提交，也可通过传真、电子邮件或纸质形式递交。授权代表须确保报告中包含经相应文件副本证实的可靠信息，同时，医疗机构有义务将不良事件告知制造商或其授权代表，并提供对相关器械的访问权限。</w:t>
      </w:r>
    </w:p>
    <w:p w14:paraId="52E4510C">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经营合规</w:t>
      </w:r>
    </w:p>
    <w:p w14:paraId="56B85F98">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经营环节的合规架构以《人民健康与医疗体系法典》第233条为核心依据。批发销售医疗器械须取得药品活动许可证（在药房仓库开展批发），或者通过医疗器械仓库提交通知启动经营活动，遵循《许可与通知法》规定的程序。零售销售医疗器械须取得在药房、药房点、流动药房点开展零售的相应许可证，或者通过光学商店和医疗器械商店提交通知。已取得许可证或提交通知的经营主体，还须遵守良好分销规范（GDP） 的要求</w:t>
      </w:r>
      <w:r>
        <w:rPr>
          <w:rFonts w:hint="eastAsia" w:ascii="Times New Roman" w:hAnsi="Times New Roman"/>
          <w:sz w:val="28"/>
          <w:szCs w:val="28"/>
        </w:rPr>
        <w:t>。</w:t>
      </w:r>
      <w:r>
        <w:rPr>
          <w:rFonts w:ascii="Times New Roman" w:hAnsi="Times New Roman"/>
          <w:sz w:val="28"/>
          <w:szCs w:val="28"/>
        </w:rPr>
        <w:t>禁止批发和零售未在哈萨克斯坦通过国家注册的医疗器械，以及质量未经合格证书确认的医疗器械。</w:t>
      </w:r>
    </w:p>
    <w:p w14:paraId="3185BA81">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广告合规方面，医疗器械广告须以可靠、无需特殊知识即可识别的方式发布，不得与其他器械进行比较，不得通过滥用消费者信任误导消费者，包括在特性、成分、消费属性、价格、预期使用效果、研究和测试结果等方面。禁止为未在哈萨克斯坦注册的医疗器械发布广告，禁止在广告中使用儿童形象和声音（儿童专用器械除外），禁止在公共交通工具和与器械用途无关的组织中发布广告。发布广告前须获得国家专家机构的正面鉴定意见。</w:t>
      </w:r>
    </w:p>
    <w:p w14:paraId="1C061620">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反腐败合规方面，哈萨克斯坦对医疗器械领域的腐败行为执法力度持续加强。政府采购环节的合规风险最为集中，中国制造商在与本地授权代表和分销商合作时，应在协议中明确反腐败条款，避免因本地合作方的不当行为波及自身的市场准入资格。</w:t>
      </w:r>
    </w:p>
    <w:p w14:paraId="1FBFABB8">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数据保护方面，2026年8月5日第88号卫生部命令更新了个人医疗数据收集、处理、存储和保护规则。个人医疗数据的收集须取得患者或其法定代表的同意，同意可以书面、电子文件或通过数字政府门户的用户账户形式提供。存储个人医疗数据的服务器必须物理位于哈萨克斯坦境内。用于分析、统计和科学研究目的的医疗数据须进行去标识化处理，向科学研究传输数据须取得患者的知情同意。患者有权查询其医疗数据的存在情况、收集处理目的、方式和期限，数字医疗主体须在3个工作日内提供信息或提供说明理由的拒绝答复。</w:t>
      </w:r>
    </w:p>
    <w:p w14:paraId="308B7828">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贸易政策等其他需关注的情况</w:t>
      </w:r>
    </w:p>
    <w:p w14:paraId="5927F1A2">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哈萨克斯坦作为EAEU成员国，适用欧亚经济委员会统一的反倾销规则，但目前尚无针对中国医疗器械的贸易救济案件。公立招标是核心采购方式，透明度近年有所提升，但开始向本地化生产倾斜。政府采购中长期合同优先授予在哈境内生产医疗器械的供应商</w:t>
      </w:r>
      <w:r>
        <w:rPr>
          <w:rFonts w:hint="eastAsia" w:ascii="Times New Roman" w:hAnsi="Times New Roman"/>
          <w:sz w:val="28"/>
          <w:szCs w:val="28"/>
        </w:rPr>
        <w:t>。</w:t>
      </w:r>
      <w:r>
        <w:rPr>
          <w:rFonts w:ascii="Times New Roman" w:hAnsi="Times New Roman"/>
          <w:sz w:val="28"/>
          <w:szCs w:val="28"/>
        </w:rPr>
        <w:t>实操层面的主要风险为技术文件审查严格，对俄语 / 哈萨克语标签翻译的准确性要求高，监管部门近年强化了对临床数据来源、本地授权代表履职记录的抽查，资料瑕疵易导致注册周期延长甚至驳回。</w:t>
      </w:r>
    </w:p>
    <w:p w14:paraId="5901A047">
      <w:pPr>
        <w:pStyle w:val="26"/>
        <w:numPr>
          <w:ilvl w:val="1"/>
          <w:numId w:val="6"/>
        </w:numPr>
        <w:spacing w:before="120" w:beforeLines="50" w:after="120" w:afterLines="50" w:line="360" w:lineRule="auto"/>
        <w:jc w:val="center"/>
        <w:rPr>
          <w:rFonts w:ascii="Times New Roman" w:hAnsi="Times New Roman"/>
          <w:b/>
          <w:bCs/>
          <w:sz w:val="28"/>
          <w:szCs w:val="28"/>
          <w:lang w:val="en-GB"/>
        </w:rPr>
      </w:pPr>
      <w:r>
        <w:rPr>
          <w:rFonts w:hint="eastAsia" w:ascii="Times New Roman" w:hAnsi="Times New Roman"/>
          <w:b/>
          <w:bCs/>
          <w:sz w:val="28"/>
          <w:szCs w:val="28"/>
          <w:lang w:val="en-GB"/>
        </w:rPr>
        <w:t xml:space="preserve"> 东亚地区</w:t>
      </w:r>
    </w:p>
    <w:p w14:paraId="2E6EA0EE">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韩国</w:t>
      </w:r>
    </w:p>
    <w:p w14:paraId="4B327A9A">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（一）</w:t>
      </w:r>
      <w:r>
        <w:rPr>
          <w:rFonts w:hint="eastAsia" w:ascii="Times New Roman" w:hAnsi="Times New Roman"/>
          <w:b/>
          <w:bCs/>
          <w:sz w:val="28"/>
          <w:szCs w:val="28"/>
        </w:rPr>
        <w:tab/>
      </w:r>
      <w:r>
        <w:rPr>
          <w:rFonts w:hint="eastAsia" w:ascii="Times New Roman" w:hAnsi="Times New Roman"/>
          <w:b/>
          <w:bCs/>
          <w:sz w:val="28"/>
          <w:szCs w:val="28"/>
        </w:rPr>
        <w:t>通关监管合规</w:t>
      </w:r>
    </w:p>
    <w:p w14:paraId="6A963EBC">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w:t>
      </w:r>
      <w:r>
        <w:rPr>
          <w:rFonts w:hint="eastAsia" w:ascii="Times New Roman" w:hAnsi="Times New Roman"/>
          <w:b/>
          <w:bCs/>
          <w:sz w:val="28"/>
          <w:szCs w:val="28"/>
        </w:rPr>
        <w:tab/>
      </w:r>
      <w:r>
        <w:rPr>
          <w:rFonts w:hint="eastAsia" w:ascii="Times New Roman" w:hAnsi="Times New Roman"/>
          <w:b/>
          <w:bCs/>
          <w:sz w:val="28"/>
          <w:szCs w:val="28"/>
        </w:rPr>
        <w:t>监管法律框架</w:t>
      </w:r>
    </w:p>
    <w:p w14:paraId="20F19581">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韩国医疗器械进口通关监管以《医疗器械法》为核心法律依据，配套《医疗器械法施行令》《医疗器械法施行规则》及食品药品安全处（MFDS）发布的各类告示形成四级法规体系。MFDS作为主管部门统筹医疗器械上市前审批与进口准入，韩国关税厅负责口岸通关核验，二者通过数据联网实现监管协同。</w:t>
      </w:r>
    </w:p>
    <w:p w14:paraId="6F013C38">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进口主体资质要求</w:t>
      </w:r>
    </w:p>
    <w:p w14:paraId="1D701FB1">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依据《医疗器械法》第15条，从事医疗器械进口业务须先行取得MFDS颁发的进口业许可。境外生产企业不得直接办理进口通关，必须指定韩国境内注册企业作为韩国许可持有人（KLH），由其全权负责产品注册申报、通关手续办理、上市后不良事件监测及召回等全生命周期合规事务。海关通关环节实行“单证主体一致”原则，报关单载明的进口商名称须与MFDS进口许可持有人完全一致，否则不予放行。</w:t>
      </w:r>
    </w:p>
    <w:p w14:paraId="717C79C7">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3.</w:t>
      </w:r>
      <w:r>
        <w:rPr>
          <w:rFonts w:hint="eastAsia" w:ascii="Times New Roman" w:hAnsi="Times New Roman"/>
          <w:b/>
          <w:bCs/>
          <w:sz w:val="28"/>
          <w:szCs w:val="28"/>
        </w:rPr>
        <w:tab/>
      </w:r>
      <w:r>
        <w:rPr>
          <w:rFonts w:hint="eastAsia" w:ascii="Times New Roman" w:hAnsi="Times New Roman"/>
          <w:b/>
          <w:bCs/>
          <w:sz w:val="28"/>
          <w:szCs w:val="28"/>
        </w:rPr>
        <w:t>分级通关监管机制</w:t>
      </w:r>
    </w:p>
    <w:p w14:paraId="4F58B523">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韩国按风险等级将医疗器械划分为I至 IV类，对应差异化通关监管路径。</w:t>
      </w:r>
    </w:p>
    <w:p w14:paraId="1929E4A5">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对于I类（低风险），实行进口申报制，产品完成上市前通知程序后，凭申报文件办理通关，通常由医疗器械信息技术支援中心（MDITAC）审核；对于II类（中低风险），实行进口认证制，部分等同产品可走简化认证通道，由MFDS授权的第三方机构出具认证文书；对于III、IV类（中高及高风险），实行进口许可制，须经MFDS技术文件审评与临床数据核查，获颁进口许可后方可通关。</w:t>
      </w:r>
    </w:p>
    <w:p w14:paraId="77355B1D">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4.</w:t>
      </w:r>
      <w:r>
        <w:rPr>
          <w:rFonts w:hint="eastAsia" w:ascii="Times New Roman" w:hAnsi="Times New Roman"/>
          <w:b/>
          <w:bCs/>
          <w:sz w:val="28"/>
          <w:szCs w:val="28"/>
        </w:rPr>
        <w:tab/>
      </w:r>
      <w:r>
        <w:rPr>
          <w:rFonts w:hint="eastAsia" w:ascii="Times New Roman" w:hAnsi="Times New Roman"/>
          <w:b/>
          <w:bCs/>
          <w:sz w:val="28"/>
          <w:szCs w:val="28"/>
        </w:rPr>
        <w:t>通关必备单证</w:t>
      </w:r>
    </w:p>
    <w:p w14:paraId="54F56B2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医疗器械进口申报时须向海关提交以下核心单证：（1）MFDS核发的对应类别进口许可/认证/申报凭证；（2）韩国良好生产规范（KGMP）符合性证明；（3）产品技术文件摘要、韩文说明书及标签样张；（4）原产地证明、装箱单、商业发票等常规贸易单证。自用医疗物资等特殊情形可凭韩国医疗器械安全信息院或行业协会出具的要件豁免确认推荐书办理通关。</w:t>
      </w:r>
    </w:p>
    <w:p w14:paraId="661DC975">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5.</w:t>
      </w:r>
      <w:r>
        <w:rPr>
          <w:rFonts w:hint="eastAsia" w:ascii="Times New Roman" w:hAnsi="Times New Roman"/>
          <w:b/>
          <w:bCs/>
          <w:sz w:val="28"/>
          <w:szCs w:val="28"/>
        </w:rPr>
        <w:tab/>
      </w:r>
      <w:r>
        <w:rPr>
          <w:rFonts w:hint="eastAsia" w:ascii="Times New Roman" w:hAnsi="Times New Roman"/>
          <w:b/>
          <w:bCs/>
          <w:sz w:val="28"/>
          <w:szCs w:val="28"/>
        </w:rPr>
        <w:t>入境查验</w:t>
      </w:r>
    </w:p>
    <w:p w14:paraId="1FC6701D">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海关根据产品风险等级实施抽查式口岸核验，重点核对产品品名、规格型号、生产批号与许可文件一致性，以及包装标识、韩文标签合规性。高风险类器械加大抽检比例，必要时实施抽样检测。</w:t>
      </w:r>
    </w:p>
    <w:p w14:paraId="1AC7BD83">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（二）</w:t>
      </w:r>
      <w:r>
        <w:rPr>
          <w:rFonts w:hint="eastAsia" w:ascii="Times New Roman" w:hAnsi="Times New Roman"/>
          <w:b/>
          <w:bCs/>
          <w:sz w:val="28"/>
          <w:szCs w:val="28"/>
        </w:rPr>
        <w:tab/>
      </w:r>
      <w:r>
        <w:rPr>
          <w:rFonts w:hint="eastAsia" w:ascii="Times New Roman" w:hAnsi="Times New Roman"/>
          <w:b/>
          <w:bCs/>
          <w:sz w:val="28"/>
          <w:szCs w:val="28"/>
        </w:rPr>
        <w:t>医疗器械上市准入体系</w:t>
      </w:r>
    </w:p>
    <w:p w14:paraId="7BBE0E2C">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w:t>
      </w:r>
      <w:r>
        <w:rPr>
          <w:rFonts w:hint="eastAsia" w:ascii="Times New Roman" w:hAnsi="Times New Roman"/>
          <w:b/>
          <w:bCs/>
          <w:sz w:val="28"/>
          <w:szCs w:val="28"/>
        </w:rPr>
        <w:tab/>
      </w:r>
      <w:r>
        <w:rPr>
          <w:rFonts w:hint="eastAsia" w:ascii="Times New Roman" w:hAnsi="Times New Roman"/>
          <w:b/>
          <w:bCs/>
          <w:sz w:val="28"/>
          <w:szCs w:val="28"/>
        </w:rPr>
        <w:t>监管法律框架</w:t>
      </w:r>
    </w:p>
    <w:p w14:paraId="4532A80B">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韩国医疗器械监管以《医疗器械法》为核心上位法，下设总统令《医疗器械法施行令》、部令《医疗器械法施行规则》，以及MFDS发布的各类技术规范、审查基准和操作指南，形成“法律-政令-施行规则-部门通告”四级规范体系，覆盖产品全生命周期监管要求。</w:t>
      </w:r>
    </w:p>
    <w:p w14:paraId="436583CA">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风险分级与准入路径</w:t>
      </w:r>
    </w:p>
    <w:p w14:paraId="287DB566">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韩国依据产品潜在风险程度将医疗器械划分为四个等级，并对应差异化的上市准入程序。</w:t>
      </w:r>
    </w:p>
    <w:p w14:paraId="79A4DBCC">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2.1</w:t>
      </w:r>
      <w:r>
        <w:rPr>
          <w:rFonts w:hint="eastAsia" w:ascii="Times New Roman" w:hAnsi="Times New Roman"/>
          <w:sz w:val="28"/>
          <w:szCs w:val="28"/>
        </w:rPr>
        <w:tab/>
      </w:r>
      <w:r>
        <w:rPr>
          <w:rFonts w:hint="eastAsia" w:ascii="Times New Roman" w:hAnsi="Times New Roman"/>
          <w:sz w:val="28"/>
          <w:szCs w:val="28"/>
        </w:rPr>
        <w:t>I类（低风险）</w:t>
      </w:r>
    </w:p>
    <w:p w14:paraId="449127D5">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实行上市前通知制度，由企业确认产品符合技术标准后，向国家医疗器械安全信息院（NIDS）提交申报材料完成备案，审评周期约2个月。</w:t>
      </w:r>
    </w:p>
    <w:p w14:paraId="0FB1E0A3">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2.2</w:t>
      </w:r>
      <w:r>
        <w:rPr>
          <w:rFonts w:hint="eastAsia" w:ascii="Times New Roman" w:hAnsi="Times New Roman"/>
          <w:sz w:val="28"/>
          <w:szCs w:val="28"/>
        </w:rPr>
        <w:tab/>
      </w:r>
      <w:r>
        <w:rPr>
          <w:rFonts w:hint="eastAsia" w:ascii="Times New Roman" w:hAnsi="Times New Roman"/>
          <w:sz w:val="28"/>
          <w:szCs w:val="28"/>
        </w:rPr>
        <w:t>II类（中低风险）</w:t>
      </w:r>
    </w:p>
    <w:p w14:paraId="360380EB">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实行上市前认证制度，由MFDS授权的专业技术审查机构开展技术文件审核，确认产品安全有效性，审评周期4-7个月。</w:t>
      </w:r>
    </w:p>
    <w:p w14:paraId="3F757796">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2.3</w:t>
      </w:r>
      <w:r>
        <w:rPr>
          <w:rFonts w:hint="eastAsia" w:ascii="Times New Roman" w:hAnsi="Times New Roman"/>
          <w:sz w:val="28"/>
          <w:szCs w:val="28"/>
        </w:rPr>
        <w:tab/>
      </w:r>
      <w:r>
        <w:rPr>
          <w:rFonts w:hint="eastAsia" w:ascii="Times New Roman" w:hAnsi="Times New Roman"/>
          <w:sz w:val="28"/>
          <w:szCs w:val="28"/>
        </w:rPr>
        <w:t>Ⅲ 类（中高风险）</w:t>
      </w:r>
    </w:p>
    <w:p w14:paraId="18798285">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实行上市前批准制度，由MFDS直接开展全面技术审评，需提交完整的安全性与有效性证据，审评周期9-15个月。</w:t>
      </w:r>
    </w:p>
    <w:p w14:paraId="0890F7AB">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2.4</w:t>
      </w:r>
      <w:r>
        <w:rPr>
          <w:rFonts w:hint="eastAsia" w:ascii="Times New Roman" w:hAnsi="Times New Roman"/>
          <w:sz w:val="28"/>
          <w:szCs w:val="28"/>
        </w:rPr>
        <w:tab/>
      </w:r>
      <w:r>
        <w:rPr>
          <w:rFonts w:hint="eastAsia" w:ascii="Times New Roman" w:hAnsi="Times New Roman"/>
          <w:sz w:val="28"/>
          <w:szCs w:val="28"/>
        </w:rPr>
        <w:t>IV类（高风险）</w:t>
      </w:r>
    </w:p>
    <w:p w14:paraId="3C7A1C4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实行上市前批准制度，由MFDS组织多部门联合审评，必要时提请专家委员会论证，适用最严格的审查标准，审评周期9-15个月。</w:t>
      </w:r>
    </w:p>
    <w:p w14:paraId="339CDD97">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3.</w:t>
      </w:r>
      <w:r>
        <w:rPr>
          <w:rFonts w:hint="eastAsia" w:ascii="Times New Roman" w:hAnsi="Times New Roman"/>
          <w:b/>
          <w:bCs/>
          <w:sz w:val="28"/>
          <w:szCs w:val="28"/>
        </w:rPr>
        <w:tab/>
      </w:r>
      <w:r>
        <w:rPr>
          <w:rFonts w:hint="eastAsia" w:ascii="Times New Roman" w:hAnsi="Times New Roman"/>
          <w:b/>
          <w:bCs/>
          <w:sz w:val="28"/>
          <w:szCs w:val="28"/>
        </w:rPr>
        <w:t>审评机制与特殊规则</w:t>
      </w:r>
    </w:p>
    <w:p w14:paraId="23EDA9F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技术文件审评分为两类：（1）等同性技术审评：适用于与已上市产品实质等同的器械，无需提交临床试验报告；（2）安全有效性审评（SER）：适用于创新设计、新适应症或存在显著安全差异的产品，必须配套临床试验数据。</w:t>
      </w:r>
    </w:p>
    <w:p w14:paraId="6F9F61B1">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部分I、II类产品适用特殊审批规则。涉及临床试验、数字医疗、药械组合产品，以及分类目录未明确界定的产品，无论风险等级，均需提交MFDS直接审批。</w:t>
      </w:r>
    </w:p>
    <w:p w14:paraId="5073BD22">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（三）</w:t>
      </w:r>
      <w:r>
        <w:rPr>
          <w:rFonts w:hint="eastAsia" w:ascii="Times New Roman" w:hAnsi="Times New Roman"/>
          <w:b/>
          <w:bCs/>
          <w:sz w:val="28"/>
          <w:szCs w:val="28"/>
        </w:rPr>
        <w:tab/>
      </w:r>
      <w:r>
        <w:rPr>
          <w:rFonts w:hint="eastAsia" w:ascii="Times New Roman" w:hAnsi="Times New Roman"/>
          <w:b/>
          <w:bCs/>
          <w:sz w:val="28"/>
          <w:szCs w:val="28"/>
        </w:rPr>
        <w:t>代理人制度</w:t>
      </w:r>
    </w:p>
    <w:p w14:paraId="032BA8AF">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w:t>
      </w:r>
      <w:r>
        <w:rPr>
          <w:rFonts w:hint="eastAsia" w:ascii="Times New Roman" w:hAnsi="Times New Roman"/>
          <w:b/>
          <w:bCs/>
          <w:sz w:val="28"/>
          <w:szCs w:val="28"/>
        </w:rPr>
        <w:tab/>
      </w:r>
      <w:r>
        <w:rPr>
          <w:rFonts w:hint="eastAsia" w:ascii="Times New Roman" w:hAnsi="Times New Roman"/>
          <w:b/>
          <w:bCs/>
          <w:sz w:val="28"/>
          <w:szCs w:val="28"/>
        </w:rPr>
        <w:t>制度定位与法律依据</w:t>
      </w:r>
    </w:p>
    <w:p w14:paraId="3CF2E132">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韩国《医疗器械法》确立进口医疗器械境内法定代理人制度，明确所有境外医疗器械生产企业不得直接向MFDS提交上市准入申请，必须指定韩国境内依法设立的法人实体作为其代理人（又称韩国许可持有人，KLH），全权负责产品在韩的注册申报与全生命周期合规事务。该制度是韩国进口医疗器械监管的核心环节，通过明确境内责任主体，保障监管要求有效传导与执行。</w:t>
      </w:r>
    </w:p>
    <w:p w14:paraId="4CB607AB">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代理人法定资质条件</w:t>
      </w:r>
    </w:p>
    <w:p w14:paraId="7E51070E">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担任境外医疗器械企业的韩国代理人，须同时满足三项法定要件：（1）主体资格要件：须为韩国境内正式注册的法人，持有MFDS核发的医疗器械进口销售经营许可；（2）人员配置要件：须配备专职且具备合规资质的质量负责人，全程统筹产品质量体系维护与监管对接事务；（3）体系能力要件：须具备与代理产品风险等级相适配的韩国医疗器械优良制造规范（KGMP）管理能力，代理Ⅲ、Ⅳ类高风险产品的，还应具备对应品类的专项技术审评经验。</w:t>
      </w:r>
    </w:p>
    <w:p w14:paraId="05889F6C">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3.</w:t>
      </w:r>
      <w:r>
        <w:rPr>
          <w:rFonts w:hint="eastAsia" w:ascii="Times New Roman" w:hAnsi="Times New Roman"/>
          <w:b/>
          <w:bCs/>
          <w:sz w:val="28"/>
          <w:szCs w:val="28"/>
        </w:rPr>
        <w:tab/>
      </w:r>
      <w:r>
        <w:rPr>
          <w:rFonts w:hint="eastAsia" w:ascii="Times New Roman" w:hAnsi="Times New Roman"/>
          <w:b/>
          <w:bCs/>
          <w:sz w:val="28"/>
          <w:szCs w:val="28"/>
        </w:rPr>
        <w:t>监管约束与变更规则</w:t>
      </w:r>
    </w:p>
    <w:p w14:paraId="6558A51C">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代理人是产品在韩国境内的法定责任主体，与境外生产企业承担合规连带责任。境外生产企业出具的授权委托文件，须经公证认证程序后方可生效。代理人发生变更时，新旧代理人须共同向MFDS提交变更申请，完成注册信息与管理责任交接，期间不得中断产品合规管理。MFDS对代理人履职情况实施动态抽查，未按规定履行义务的，可依法采取责令整改、罚款直至撤销产品注册的监管措施。</w:t>
      </w:r>
    </w:p>
    <w:p w14:paraId="14C309D4">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（四）</w:t>
      </w:r>
      <w:r>
        <w:rPr>
          <w:rFonts w:hint="eastAsia" w:ascii="Times New Roman" w:hAnsi="Times New Roman"/>
          <w:b/>
          <w:bCs/>
          <w:sz w:val="28"/>
          <w:szCs w:val="28"/>
        </w:rPr>
        <w:tab/>
      </w:r>
      <w:r>
        <w:rPr>
          <w:rFonts w:hint="eastAsia" w:ascii="Times New Roman" w:hAnsi="Times New Roman"/>
          <w:b/>
          <w:bCs/>
          <w:sz w:val="28"/>
          <w:szCs w:val="28"/>
        </w:rPr>
        <w:t>销售流通合规</w:t>
      </w:r>
    </w:p>
    <w:p w14:paraId="195CB7A6">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w:t>
      </w:r>
      <w:r>
        <w:rPr>
          <w:rFonts w:hint="eastAsia" w:ascii="Times New Roman" w:hAnsi="Times New Roman"/>
          <w:b/>
          <w:bCs/>
          <w:sz w:val="28"/>
          <w:szCs w:val="28"/>
        </w:rPr>
        <w:tab/>
      </w:r>
      <w:r>
        <w:rPr>
          <w:rFonts w:hint="eastAsia" w:ascii="Times New Roman" w:hAnsi="Times New Roman"/>
          <w:b/>
          <w:bCs/>
          <w:sz w:val="28"/>
          <w:szCs w:val="28"/>
        </w:rPr>
        <w:t>流通主体资质划分</w:t>
      </w:r>
    </w:p>
    <w:p w14:paraId="14FE2689">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韩国对医疗器械流通主体按业务属性实施差异化资质管理，并非所有流通环节均需取得行政许可。从事境外产品进口业务的主体，须取得MFDS地方分支机构核发的医疗器械进口业许可，许可审批与产品上市准入程序同步开展，申请人需配备专职质量负责人并具备对应质量管理能力。从事境内销售、租赁业务的流通经营者，不实行许可制，实行营业场所申报制，需按单个经营场所向属地特别自治市/道、市/郡/区主管部门办理销售业或租赁业申报；其中制造商、进口商向医疗器械从业主体销售自有产品的，以及已完成销售申报的主体兼营租赁业务的，可免于重复申报。</w:t>
      </w:r>
    </w:p>
    <w:p w14:paraId="75191754">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流通业态资质规则</w:t>
      </w:r>
    </w:p>
    <w:p w14:paraId="5EA0EF3E">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韩国医疗器械监管体系未单独设置批发、零售专项资质类别，完成销售申报的经营主体可同时开展批量分销与终端销售业务。进口商既可以直接向医疗机构、下游经销商开展直销，也可以授权多级经销商构建分销网络；授权分销模式下，进口商需对下游经销商的资质进行核验，留存供销协议与资质证明文件，确保流通链条全程可追溯。</w:t>
      </w:r>
    </w:p>
    <w:p w14:paraId="5F0715EE">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3.</w:t>
      </w:r>
      <w:r>
        <w:rPr>
          <w:rFonts w:hint="eastAsia" w:ascii="Times New Roman" w:hAnsi="Times New Roman"/>
          <w:b/>
          <w:bCs/>
          <w:sz w:val="28"/>
          <w:szCs w:val="28"/>
        </w:rPr>
        <w:tab/>
      </w:r>
      <w:r>
        <w:rPr>
          <w:rFonts w:hint="eastAsia" w:ascii="Times New Roman" w:hAnsi="Times New Roman"/>
          <w:b/>
          <w:bCs/>
          <w:sz w:val="28"/>
          <w:szCs w:val="28"/>
        </w:rPr>
        <w:t>销售对象法定边界</w:t>
      </w:r>
    </w:p>
    <w:p w14:paraId="2DE147B2">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医疗器械法定销售对象分为两类：一是医疗器械从业主体，含制造商、进口商、销售商、租赁商、维修服务商；二是医疗机构、动物诊疗机构等专业使用单位。部分风险等级低、操作简易的Ⅰ类医疗器械，可通过具备合规资质的药店等零售渠道向普通个人消费者销售，具体可零售品类以MFDS发布的目录为准。Ⅲ、Ⅳ类高风险及植入类医疗器械，仅限向专业机构或具备对应执业资质的主体供应，禁止直接面向普通公众销售。</w:t>
      </w:r>
    </w:p>
    <w:p w14:paraId="36883149">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（五）</w:t>
      </w:r>
      <w:r>
        <w:rPr>
          <w:rFonts w:hint="eastAsia" w:ascii="Times New Roman" w:hAnsi="Times New Roman"/>
          <w:b/>
          <w:bCs/>
          <w:sz w:val="28"/>
          <w:szCs w:val="28"/>
        </w:rPr>
        <w:tab/>
      </w:r>
      <w:r>
        <w:rPr>
          <w:rFonts w:hint="eastAsia" w:ascii="Times New Roman" w:hAnsi="Times New Roman"/>
          <w:b/>
          <w:bCs/>
          <w:sz w:val="28"/>
          <w:szCs w:val="28"/>
        </w:rPr>
        <w:t>医疗器械广告与促销合规</w:t>
      </w:r>
    </w:p>
    <w:p w14:paraId="21D78B26">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w:t>
      </w:r>
      <w:r>
        <w:rPr>
          <w:rFonts w:hint="eastAsia" w:ascii="Times New Roman" w:hAnsi="Times New Roman"/>
          <w:b/>
          <w:bCs/>
          <w:sz w:val="28"/>
          <w:szCs w:val="28"/>
        </w:rPr>
        <w:tab/>
      </w:r>
      <w:r>
        <w:rPr>
          <w:rFonts w:hint="eastAsia" w:ascii="Times New Roman" w:hAnsi="Times New Roman"/>
          <w:b/>
          <w:bCs/>
          <w:sz w:val="28"/>
          <w:szCs w:val="28"/>
        </w:rPr>
        <w:t>监管框架与审查管理</w:t>
      </w:r>
    </w:p>
    <w:p w14:paraId="6501EB2C">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韩国医疗器械广告与促销监管以《医疗器械法》第24条及配套施行规则为核心法律依据，由MFDS统一履行监管职责，同时发布专项广告审查基准作为实操规范。韩国对广告实施分类管控：面向普通公众发布的医疗器械广告，须符合法定事前审查要求；面向医疗专业群体的学术类推广材料，可按行业合规准则完成内部校验。针对展会、行业论坛等线下场景中的产品展示，若涉及尚未完成上市准入的产品，须提前向属地监管机构申请专项许可，仅可在限定范围内开展非销售性宣传。</w:t>
      </w:r>
    </w:p>
    <w:p w14:paraId="15A7E3EF">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促销行为法定边界</w:t>
      </w:r>
    </w:p>
    <w:p w14:paraId="64DFFF5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韩国根据受众属性对促销渠道设置差异化要求。Ⅲ、Ⅳ类中高风险及植入类医疗器械，仅可通过专业学术渠道向具备对应执业资质的医疗从业人员推广，禁止通过大众传播媒介面向普通公众发布广告。Ⅰ、Ⅱ类低风险器械的大众宣传，须严格限定在法定允许的表述范畴内。禁止利用医师、牙医、韩医师、兽医等专业人员的名义或形象进行产品推荐与效果担保，也不得通过使用前后对比等方式暗示或夸大产品实际效果。</w:t>
      </w:r>
    </w:p>
    <w:p w14:paraId="0053C3AA">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3.</w:t>
      </w:r>
      <w:r>
        <w:rPr>
          <w:rFonts w:hint="eastAsia" w:ascii="Times New Roman" w:hAnsi="Times New Roman"/>
          <w:b/>
          <w:bCs/>
          <w:sz w:val="28"/>
          <w:szCs w:val="28"/>
        </w:rPr>
        <w:tab/>
      </w:r>
      <w:r>
        <w:rPr>
          <w:rFonts w:hint="eastAsia" w:ascii="Times New Roman" w:hAnsi="Times New Roman"/>
          <w:b/>
          <w:bCs/>
          <w:sz w:val="28"/>
          <w:szCs w:val="28"/>
        </w:rPr>
        <w:t>禁止情形与监管约束</w:t>
      </w:r>
    </w:p>
    <w:p w14:paraId="28860B6E">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法规明确禁止五类广告行为：（1）对产品名称、制造工艺、性能功效及作用原理作虚假或夸大宣传；（2）宣传未取得上市许可的产品性能、功效或适用范围；（3）通过隐晦表述、局部图示等方式误导公众对产品效果的判断；（4）包含违背公序良俗的内容；（5）不当弱化产品风险、片面强调安全性。</w:t>
      </w:r>
    </w:p>
    <w:p w14:paraId="3971370E">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违规开展广告促销的，监管部门可依法责令停止发布、限期整改并处罚款，情节严重的可联动限制产品上市流通。</w:t>
      </w:r>
    </w:p>
    <w:p w14:paraId="4759EFDF">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（六）</w:t>
      </w:r>
      <w:r>
        <w:rPr>
          <w:rFonts w:hint="eastAsia" w:ascii="Times New Roman" w:hAnsi="Times New Roman"/>
          <w:b/>
          <w:bCs/>
          <w:sz w:val="28"/>
          <w:szCs w:val="28"/>
        </w:rPr>
        <w:tab/>
      </w:r>
      <w:r>
        <w:rPr>
          <w:rFonts w:hint="eastAsia" w:ascii="Times New Roman" w:hAnsi="Times New Roman"/>
          <w:b/>
          <w:bCs/>
          <w:sz w:val="28"/>
          <w:szCs w:val="28"/>
        </w:rPr>
        <w:t>反商业贿赂与HCP交往合规</w:t>
      </w:r>
    </w:p>
    <w:p w14:paraId="60542B68">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w:t>
      </w:r>
      <w:r>
        <w:rPr>
          <w:rFonts w:hint="eastAsia" w:ascii="Times New Roman" w:hAnsi="Times New Roman"/>
          <w:b/>
          <w:bCs/>
          <w:sz w:val="28"/>
          <w:szCs w:val="28"/>
        </w:rPr>
        <w:tab/>
      </w:r>
      <w:r>
        <w:rPr>
          <w:rFonts w:hint="eastAsia" w:ascii="Times New Roman" w:hAnsi="Times New Roman"/>
          <w:b/>
          <w:bCs/>
          <w:sz w:val="28"/>
          <w:szCs w:val="28"/>
        </w:rPr>
        <w:t>监管法律体系与适用范围</w:t>
      </w:r>
    </w:p>
    <w:p w14:paraId="1812161E">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韩国对医疗器械领域商业贿赂及医疗专业人士（HCP）交往实行“行业专项规制+通用廉洁立法”的双轨监管体系。行业规制以《医疗器械法》《医疗法》为核心，明确医疗器械生产经营主体与医疗从业人员交往的法定边界；通用规则以《禁止不正当请托与收受财物法》（即金英兰法）为基础，对公立医疗机构从业人员等公职关联主体设定严格的利益收受限制。该体系覆盖所有在韩开展医疗器械业务的制造商、进口商、经销商及其从业人员，约束对象涵盖执业医师、医疗机构运营者、采购决策人员等所有能够影响产品选用的主体。</w:t>
      </w:r>
    </w:p>
    <w:p w14:paraId="08E72E81">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核心禁止行为规范</w:t>
      </w:r>
    </w:p>
    <w:p w14:paraId="27EFC7C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法规明确禁止以诱导产品采购、提升使用频次或维持交易关系为目的，向HCP及医疗机构相关人员提供任何形式的经济利益，包括但不限于金钱回扣、实物馈赠、劳务便利、招待宴请、费用减免、荣誉任职等显性或隐性利益。禁止行为既包含直接的商业返点、有偿推荐，也包含间接的变相利益输送，如捆绑附赠非标配设备、承担私人开支、安排关联方收益等。其中公立医疗机构医务人员属于法定公职相关人员，适用更严格的廉洁标准，任何可能妨害履职公正性的利益往来均属违法。</w:t>
      </w:r>
    </w:p>
    <w:p w14:paraId="34D010FC">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3.</w:t>
      </w:r>
      <w:r>
        <w:rPr>
          <w:rFonts w:hint="eastAsia" w:ascii="Times New Roman" w:hAnsi="Times New Roman"/>
          <w:b/>
          <w:bCs/>
          <w:sz w:val="28"/>
          <w:szCs w:val="28"/>
        </w:rPr>
        <w:tab/>
      </w:r>
      <w:r>
        <w:rPr>
          <w:rFonts w:hint="eastAsia" w:ascii="Times New Roman" w:hAnsi="Times New Roman"/>
          <w:b/>
          <w:bCs/>
          <w:sz w:val="28"/>
          <w:szCs w:val="28"/>
        </w:rPr>
        <w:t>法律责任</w:t>
      </w:r>
    </w:p>
    <w:p w14:paraId="2D28586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KLH为法定第一责任主体，对自身及授权分销渠道的商业交往行为承担合规连带责任。违反规定的，MFDS可依法采取责令改正、行政罚款、暂停产品上市、撤销注册证书直至吊销经营许可的处罚；构成刑事犯罪的，相关责任人可处有期徒刑与罚金，企业罚金最高可达违法所得数额的两倍。</w:t>
      </w:r>
    </w:p>
    <w:p w14:paraId="7FD464D8">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（七）</w:t>
      </w:r>
      <w:r>
        <w:rPr>
          <w:rFonts w:hint="eastAsia" w:ascii="Times New Roman" w:hAnsi="Times New Roman"/>
          <w:b/>
          <w:bCs/>
          <w:sz w:val="28"/>
          <w:szCs w:val="28"/>
        </w:rPr>
        <w:tab/>
      </w:r>
      <w:r>
        <w:rPr>
          <w:rFonts w:hint="eastAsia" w:ascii="Times New Roman" w:hAnsi="Times New Roman"/>
          <w:b/>
          <w:bCs/>
          <w:sz w:val="28"/>
          <w:szCs w:val="28"/>
        </w:rPr>
        <w:t>上市后警戒与产品责任</w:t>
      </w:r>
    </w:p>
    <w:p w14:paraId="122DB539">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w:t>
      </w:r>
      <w:r>
        <w:rPr>
          <w:rFonts w:hint="eastAsia" w:ascii="Times New Roman" w:hAnsi="Times New Roman"/>
          <w:b/>
          <w:bCs/>
          <w:sz w:val="28"/>
          <w:szCs w:val="28"/>
        </w:rPr>
        <w:tab/>
      </w:r>
      <w:r>
        <w:rPr>
          <w:rFonts w:hint="eastAsia" w:ascii="Times New Roman" w:hAnsi="Times New Roman"/>
          <w:b/>
          <w:bCs/>
          <w:sz w:val="28"/>
          <w:szCs w:val="28"/>
        </w:rPr>
        <w:t>监管体系与法定责任主体</w:t>
      </w:r>
    </w:p>
    <w:p w14:paraId="7E8DFDD5">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韩国上市后医疗器械安全监管以《医疗器械法》第31条及配套施行规则为行业核心依据，同时适用《产品责任法》《产品安全基本法》的通用规制，由MFDS统一履行监管职责，国家医疗器械安全信息院承担技术分析与风险评估支撑工作。境外生产企业的上市后警戒与产品责任义务，由KLH作为境内法定责任主体全权承担，对产品全生命周期安全管理负首要责任，进口商、经销商及医疗机构均负有协同报告与配合处置的法定义务。</w:t>
      </w:r>
    </w:p>
    <w:p w14:paraId="284FC213">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上市后警戒监测与报告要求</w:t>
      </w:r>
    </w:p>
    <w:p w14:paraId="16D529B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不良事件报告实行分级时限管理：导致死亡或危及生命的事件，须于获知后7日内提交初步报告，并在30日内补充完整调查结论与纠正措施；导致住院治疗、永久功能损伤等严重不良后果的事件，15日内完成正式报送；其他一般不良事件、产品性能异常及标识缺陷等问题，30日内提交报告。所有报告须通过MFDS医疗器械信息系统（MDIS）提交，事件后续出现新的安全信息的，须及时提交补充更新报告。</w:t>
      </w:r>
    </w:p>
    <w:p w14:paraId="0AAF4BDF">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3.</w:t>
      </w:r>
      <w:r>
        <w:rPr>
          <w:rFonts w:hint="eastAsia" w:ascii="Times New Roman" w:hAnsi="Times New Roman"/>
          <w:b/>
          <w:bCs/>
          <w:sz w:val="28"/>
          <w:szCs w:val="28"/>
        </w:rPr>
        <w:tab/>
      </w:r>
      <w:r>
        <w:rPr>
          <w:rFonts w:hint="eastAsia" w:ascii="Times New Roman" w:hAnsi="Times New Roman"/>
          <w:b/>
          <w:bCs/>
          <w:sz w:val="28"/>
          <w:szCs w:val="28"/>
        </w:rPr>
        <w:t>产品召回与风险处置机制</w:t>
      </w:r>
    </w:p>
    <w:p w14:paraId="01FE686E">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当产品存在安全缺陷或系统性风险隐患时，KLH应主动启动召回程序，MFDS也可依职权责令强制召回。召回按风险程度分为三级：Ⅰ级针对可能造成死亡或不可逆严重伤害的产品，实施最高级别紧急处置；Ⅱ级针对可能造成暂时性或可治愈健康损害的产品，实施针对性召回；Ⅲ级针对不符合合规要求但无直接健康风险的产品，实施纠正整改。召回实施前须向MFDS提交召回计划，明确召回范围、实施路径与风险缓解措施，召回完成后提交总结报告。除召回外，企业还可根据风险等级采取安全警示发布、使用范围限制、现场维修升级等现场安全纠正措施。</w:t>
      </w:r>
    </w:p>
    <w:p w14:paraId="17F90334">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4.</w:t>
      </w:r>
      <w:r>
        <w:rPr>
          <w:rFonts w:hint="eastAsia" w:ascii="Times New Roman" w:hAnsi="Times New Roman"/>
          <w:b/>
          <w:bCs/>
          <w:sz w:val="28"/>
          <w:szCs w:val="28"/>
        </w:rPr>
        <w:tab/>
      </w:r>
      <w:r>
        <w:rPr>
          <w:rFonts w:hint="eastAsia" w:ascii="Times New Roman" w:hAnsi="Times New Roman"/>
          <w:b/>
          <w:bCs/>
          <w:sz w:val="28"/>
          <w:szCs w:val="28"/>
        </w:rPr>
        <w:t>产品责任</w:t>
      </w:r>
    </w:p>
    <w:p w14:paraId="46FCA10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民事责任层面，因产品缺陷造成人身、财产损害的，生产经营者须承担损害赔偿责任；明知产品存在缺陷却未采取必要防控措施，造成严重人身伤害的，最高可处以损害额3倍的惩罚性赔偿。行政责任层面，未按规定履行警戒报告义务、未及时处置安全风险的，MFDS可依法处以行政罚款、暂停产品销售，情节严重的撤销上市许可。相关违规记录纳入企业合规信用档案，作为后续注册审评、资质延续的重要考量依据。</w:t>
      </w:r>
    </w:p>
    <w:p w14:paraId="64BB8BA6">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（八）</w:t>
      </w:r>
      <w:r>
        <w:rPr>
          <w:rFonts w:hint="eastAsia" w:ascii="Times New Roman" w:hAnsi="Times New Roman"/>
          <w:b/>
          <w:bCs/>
          <w:sz w:val="28"/>
          <w:szCs w:val="28"/>
        </w:rPr>
        <w:tab/>
      </w:r>
      <w:r>
        <w:rPr>
          <w:rFonts w:hint="eastAsia" w:ascii="Times New Roman" w:hAnsi="Times New Roman"/>
          <w:b/>
          <w:bCs/>
          <w:sz w:val="28"/>
          <w:szCs w:val="28"/>
        </w:rPr>
        <w:t>数据合规和隐私保护</w:t>
      </w:r>
    </w:p>
    <w:p w14:paraId="09E938EC">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w:t>
      </w:r>
      <w:r>
        <w:rPr>
          <w:rFonts w:hint="eastAsia" w:ascii="Times New Roman" w:hAnsi="Times New Roman"/>
          <w:b/>
          <w:bCs/>
          <w:sz w:val="28"/>
          <w:szCs w:val="28"/>
        </w:rPr>
        <w:tab/>
      </w:r>
      <w:r>
        <w:rPr>
          <w:rFonts w:hint="eastAsia" w:ascii="Times New Roman" w:hAnsi="Times New Roman"/>
          <w:b/>
          <w:bCs/>
          <w:sz w:val="28"/>
          <w:szCs w:val="28"/>
        </w:rPr>
        <w:t>监管体系与适用边界</w:t>
      </w:r>
    </w:p>
    <w:p w14:paraId="53397280">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韩国医疗器械领域数据与隐私监管实行“通用立法+行业专项规制”的双层架构。通用规则以《个人信息保护法》（PIPA）为核心，由个人信息保护委员会（PIPC）统筹执法，2026年修订版大幅提升了处罚力度与合规标准；行业专项规则依托《医疗器械法》《数字医疗产品法》，由MFDS针对医疗器械产品特性制定技术规范，二者形成协同监管机制。该体系覆盖所有在韩上市医疗器械的全生命周期数据活动，包括产品研发、注册申报、上市后监测、远程运维等场景，境外生产企业的相关数据处理义务由KLH作为境内责任主体统筹履行。</w:t>
      </w:r>
    </w:p>
    <w:p w14:paraId="5DEA7E40">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医疗数据分级处理规则</w:t>
      </w:r>
    </w:p>
    <w:p w14:paraId="07FA50B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韩国将医疗器械处理的个人信息按敏感程度实施分级管理。诊疗记录、健康指标、生物识别等医疗健康信息属于法定敏感信息，适用最严格的处理限制。收集敏感医疗信息必须取得信息主体的明示同意，且需明确告知收集目的、信息类别、留存期限与使用范围。基于产品上市后安全监测、真实世界数据研究等目的处理医疗数据的，可在符合法定条件下豁免单独同意，但需通过数据审查委员会的必要性论证，并采取假名化、去标识化等脱敏处理措施。假名化数据仍受个人信息保护规则约束，仅匿名化数据可不受限制使用。</w:t>
      </w:r>
    </w:p>
    <w:p w14:paraId="28F752CD">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3.</w:t>
      </w:r>
      <w:r>
        <w:rPr>
          <w:rFonts w:hint="eastAsia" w:ascii="Times New Roman" w:hAnsi="Times New Roman"/>
          <w:b/>
          <w:bCs/>
          <w:sz w:val="28"/>
          <w:szCs w:val="28"/>
        </w:rPr>
        <w:tab/>
      </w:r>
      <w:r>
        <w:rPr>
          <w:rFonts w:hint="eastAsia" w:ascii="Times New Roman" w:hAnsi="Times New Roman"/>
          <w:b/>
          <w:bCs/>
          <w:sz w:val="28"/>
          <w:szCs w:val="28"/>
        </w:rPr>
        <w:t>跨境数据传输合规要求</w:t>
      </w:r>
    </w:p>
    <w:p w14:paraId="33303F8A">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韩国对医疗数据跨境传输实施严格管控，原则上个人医疗信息应存储于韩国境内服务器。确需向境外传输的，须同时满足三项法定要件：（1）就数据出境事项取得信息主体的单独明示同意，不得与其他授权事项捆绑获取；（2）通过韩国互联网振兴院（KISA）组织的数据出境安全评估，确认接收方所在国数据保护水平达到法定标准；（3）采用MFDS认可的加密技术与安全传输协议，保障数据传输全程安全。境外生产企业因质量追溯、技术支持等需要回传产品使用数据的，须由KLH统一履行跨境传输合规程序，严禁企业私自搭建数据传输通道。</w:t>
      </w:r>
    </w:p>
    <w:p w14:paraId="5D026C65">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4.</w:t>
      </w:r>
      <w:r>
        <w:rPr>
          <w:rFonts w:hint="eastAsia" w:ascii="Times New Roman" w:hAnsi="Times New Roman"/>
          <w:b/>
          <w:bCs/>
          <w:sz w:val="28"/>
          <w:szCs w:val="28"/>
        </w:rPr>
        <w:tab/>
      </w:r>
      <w:r>
        <w:rPr>
          <w:rFonts w:hint="eastAsia" w:ascii="Times New Roman" w:hAnsi="Times New Roman"/>
          <w:b/>
          <w:bCs/>
          <w:sz w:val="28"/>
          <w:szCs w:val="28"/>
        </w:rPr>
        <w:t>法律责任</w:t>
      </w:r>
    </w:p>
    <w:p w14:paraId="410541AC">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违反数据保护规定的，PIPC可处以最高相当于全球年营业额10%的行政罚款MFDS可联动采取责令整改、暂停产品销售直至撤销上市许可的行业监管措施，相关责任人还可能承担刑事法律责任。</w:t>
      </w:r>
    </w:p>
    <w:p w14:paraId="01B53B4E">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（九）</w:t>
      </w:r>
      <w:r>
        <w:rPr>
          <w:rFonts w:hint="eastAsia" w:ascii="Times New Roman" w:hAnsi="Times New Roman"/>
          <w:b/>
          <w:bCs/>
          <w:sz w:val="28"/>
          <w:szCs w:val="28"/>
        </w:rPr>
        <w:tab/>
      </w:r>
      <w:r>
        <w:rPr>
          <w:rFonts w:hint="eastAsia" w:ascii="Times New Roman" w:hAnsi="Times New Roman"/>
          <w:b/>
          <w:bCs/>
          <w:sz w:val="28"/>
          <w:szCs w:val="28"/>
        </w:rPr>
        <w:t>贸易救济与调查</w:t>
      </w:r>
    </w:p>
    <w:p w14:paraId="20B0CE51">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1.</w:t>
      </w:r>
      <w:r>
        <w:rPr>
          <w:rFonts w:hint="eastAsia" w:ascii="Times New Roman" w:hAnsi="Times New Roman"/>
          <w:b/>
          <w:bCs/>
          <w:sz w:val="28"/>
          <w:szCs w:val="28"/>
        </w:rPr>
        <w:tab/>
      </w:r>
      <w:r>
        <w:rPr>
          <w:rFonts w:hint="eastAsia" w:ascii="Times New Roman" w:hAnsi="Times New Roman"/>
          <w:b/>
          <w:bCs/>
          <w:sz w:val="28"/>
          <w:szCs w:val="28"/>
        </w:rPr>
        <w:t>监管法律体系与执法架构</w:t>
      </w:r>
    </w:p>
    <w:p w14:paraId="39E7CEFF">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韩国医疗器械领域贸易救济实行“通用贸易立法+行业准入管控”双轨监管体系。通用规则以《关税法》《不公正贸易行为调查及产业损害救济法》《对外贸易法》为核心，涵盖反倾销、反补贴、保障措施三类法定救济手段；行业维度依托《医疗器械法》设置进口通关资质核验要求，形成贸易监管与产品准入的双重约束。执法分工上，韩国贸易委员会（KTC）作为准司法机构，负责倾销/补贴事实认定、产业损害调查与救济措施建议；企划财政部最终作出征税或实施救济的行政决定；韩国海关厅负责关税征管与措施执行。</w:t>
      </w:r>
    </w:p>
    <w:p w14:paraId="0CFCE7C1">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2.</w:t>
      </w:r>
      <w:r>
        <w:rPr>
          <w:rFonts w:hint="eastAsia" w:ascii="Times New Roman" w:hAnsi="Times New Roman"/>
          <w:b/>
          <w:bCs/>
          <w:sz w:val="28"/>
          <w:szCs w:val="28"/>
        </w:rPr>
        <w:tab/>
      </w:r>
      <w:r>
        <w:rPr>
          <w:rFonts w:hint="eastAsia" w:ascii="Times New Roman" w:hAnsi="Times New Roman"/>
          <w:b/>
          <w:bCs/>
          <w:sz w:val="28"/>
          <w:szCs w:val="28"/>
        </w:rPr>
        <w:t>关税征管与通关壁垒</w:t>
      </w:r>
    </w:p>
    <w:p w14:paraId="5D5385CB">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符合中韩自由贸易协定原产地规则的产品，可适用协定优惠税率，部分品类可实现零关税。通关环节存在两类核心壁垒：（1）资质类壁垒：所有进口医疗器械必须凭MFDS注册证书办理通关手续，海关与MFDS实施联合核验，产品标签、进口主体与注册信息不符的，将被扣留或退运；（2）归类类壁垒：医疗器械细分品类HS编码界定复杂，不同编码对应税率与监管要求存在差异，归类争议将直接影响通关效率与税负成本。此外，助残类医疗器械虽可申请关税减免，但需满足严格的主体资质与用途限定。</w:t>
      </w:r>
    </w:p>
    <w:p w14:paraId="68409CCD">
      <w:pPr>
        <w:spacing w:before="120" w:beforeLines="50" w:after="120" w:afterLines="50" w:line="360" w:lineRule="auto"/>
        <w:ind w:firstLine="562" w:firstLineChars="200"/>
        <w:jc w:val="both"/>
        <w:rPr>
          <w:rFonts w:ascii="Times New Roman" w:hAnsi="Times New Roman"/>
          <w:b/>
          <w:bCs/>
          <w:sz w:val="28"/>
          <w:szCs w:val="28"/>
        </w:rPr>
      </w:pPr>
      <w:r>
        <w:rPr>
          <w:rFonts w:hint="eastAsia" w:ascii="Times New Roman" w:hAnsi="Times New Roman"/>
          <w:b/>
          <w:bCs/>
          <w:sz w:val="28"/>
          <w:szCs w:val="28"/>
        </w:rPr>
        <w:t>3.</w:t>
      </w:r>
      <w:r>
        <w:rPr>
          <w:rFonts w:hint="eastAsia" w:ascii="Times New Roman" w:hAnsi="Times New Roman"/>
          <w:b/>
          <w:bCs/>
          <w:sz w:val="28"/>
          <w:szCs w:val="28"/>
        </w:rPr>
        <w:tab/>
      </w:r>
      <w:r>
        <w:rPr>
          <w:rFonts w:hint="eastAsia" w:ascii="Times New Roman" w:hAnsi="Times New Roman"/>
          <w:b/>
          <w:bCs/>
          <w:sz w:val="28"/>
          <w:szCs w:val="28"/>
        </w:rPr>
        <w:t>反倾销与反补贴调查规则</w:t>
      </w:r>
    </w:p>
    <w:p w14:paraId="044F14C3">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韩国启动反倾销调查需同时满足倾销事实、产业损害、因果关系三项法定要件。调查可由韩国国内相关产业申请发起，KTC也可依职权主动立案。倾销调查期通常为立案前最近一个完整自然年度，产业损害调查期覆盖3至4个年度；立案后原则上3个月内作出初裁，特殊情况可延长2个月，终裁后由企划财政部决定征收反倾销税，税率对应倾销幅度，措施有效期5年，期满可启动日落复审。反补贴调查程序与反倾销基本一致，针对境外政府或公共机构提供的财政资助，核算补贴幅度并征收相应反补贴税。调查期间，KTC可根据初裁结果采取征收临时税、要求提供保证金等临时救济措施。</w:t>
      </w:r>
    </w:p>
    <w:p w14:paraId="65209BD5">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日本</w:t>
      </w:r>
    </w:p>
    <w:p w14:paraId="13DEF810">
      <w:pPr>
        <w:numPr>
          <w:ilvl w:val="0"/>
          <w:numId w:val="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通关监管合规</w:t>
      </w:r>
    </w:p>
    <w:p w14:paraId="6BDF31A9">
      <w:pPr>
        <w:numPr>
          <w:ilvl w:val="0"/>
          <w:numId w:val="8"/>
        </w:numPr>
        <w:spacing w:before="120" w:beforeLines="50" w:after="120" w:afterLines="50" w:line="360" w:lineRule="auto"/>
        <w:ind w:left="0" w:firstLine="562" w:firstLineChars="200"/>
        <w:jc w:val="both"/>
        <w:rPr>
          <w:rFonts w:ascii="Times New Roman" w:hAnsi="Times New Roman"/>
          <w:sz w:val="28"/>
          <w:szCs w:val="28"/>
          <w:lang w:val="en-US"/>
        </w:rPr>
      </w:pPr>
      <w:r>
        <w:rPr>
          <w:rFonts w:ascii="Times New Roman" w:hAnsi="Times New Roman"/>
          <w:b/>
          <w:bCs/>
          <w:sz w:val="28"/>
          <w:szCs w:val="28"/>
          <w:lang w:val="en-US"/>
        </w:rPr>
        <w:t>监管法律框架</w:t>
      </w:r>
    </w:p>
    <w:p w14:paraId="6C8114E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医疗器械进口通关监管核心依据为《医药品、医疗器械等的质量、有效性及安全性确保等相关法律》（即PMD法）及《关税法》相关规定，由厚生劳动省（MHLW）、独立行政法人医药品医疗器械综合机构（PMDA）与日本海关共同实施监管。海关通过与药监系统数据联网，对进口医疗器械的市场准入资质进行同步核验，未取得法定准入文件的产品不予放行。</w:t>
      </w:r>
    </w:p>
    <w:p w14:paraId="2F0BF381">
      <w:pPr>
        <w:numPr>
          <w:ilvl w:val="0"/>
          <w:numId w:val="8"/>
        </w:numPr>
        <w:spacing w:before="120" w:beforeLines="50" w:after="120" w:afterLines="50" w:line="360" w:lineRule="auto"/>
        <w:ind w:left="0" w:firstLine="562" w:firstLineChars="200"/>
        <w:jc w:val="both"/>
        <w:rPr>
          <w:rFonts w:ascii="Times New Roman" w:hAnsi="Times New Roman"/>
          <w:sz w:val="28"/>
          <w:szCs w:val="28"/>
          <w:lang w:val="en-US"/>
        </w:rPr>
      </w:pPr>
      <w:r>
        <w:rPr>
          <w:rFonts w:ascii="Times New Roman" w:hAnsi="Times New Roman"/>
          <w:b/>
          <w:bCs/>
          <w:sz w:val="28"/>
          <w:szCs w:val="28"/>
          <w:lang w:val="en-US"/>
        </w:rPr>
        <w:t>进口主体资质要求</w:t>
      </w:r>
    </w:p>
    <w:p w14:paraId="7889730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境外生产企业不得直接办理日本进口通关，须通过已取得日本都道府县知事核发的医疗器械制造销售业许可的日本境内持有人（MAH）作为进口主体。若进口后需在境内完成包装、标识、仓储等工序后再上市，还需另行取得医疗器械制造业许可。进口申报主体名称须与制造销售业许可证记载主体完全一致，主体信息发生变更的，应先完成药监部门变更登记再办理通关。</w:t>
      </w:r>
    </w:p>
    <w:p w14:paraId="4C0DD0B8">
      <w:pPr>
        <w:numPr>
          <w:ilvl w:val="0"/>
          <w:numId w:val="8"/>
        </w:numPr>
        <w:spacing w:before="120" w:beforeLines="50" w:after="120" w:afterLines="50" w:line="360" w:lineRule="auto"/>
        <w:ind w:left="0" w:firstLine="562" w:firstLineChars="200"/>
        <w:jc w:val="both"/>
        <w:rPr>
          <w:rFonts w:ascii="Times New Roman" w:hAnsi="Times New Roman"/>
          <w:sz w:val="28"/>
          <w:szCs w:val="28"/>
          <w:lang w:val="en-US"/>
        </w:rPr>
      </w:pPr>
      <w:r>
        <w:rPr>
          <w:rFonts w:ascii="Times New Roman" w:hAnsi="Times New Roman"/>
          <w:b/>
          <w:bCs/>
          <w:sz w:val="28"/>
          <w:szCs w:val="28"/>
          <w:lang w:val="en-US"/>
        </w:rPr>
        <w:t>通关必备单证</w:t>
      </w:r>
    </w:p>
    <w:p w14:paraId="490CF74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办理进口申报时，须向海关提交两类文件：（1）商业基础单证：海运/空运提单、商业发票、装箱单，单证所载产品名称、型号、规格、数量须与药监批准文件完全一致；（2）合规证明文件：制造销售业许可证复印件、对应产品的市场准入证明文件复印件。根据产品风险分类不同，准入证明分别为PMDA备案通知书（I类）、第三方认证机构出具的认证证书（II类）、厚生劳动大臣批准书（III、IV类）。</w:t>
      </w:r>
    </w:p>
    <w:p w14:paraId="1177A090">
      <w:pPr>
        <w:numPr>
          <w:ilvl w:val="0"/>
          <w:numId w:val="8"/>
        </w:numPr>
        <w:spacing w:before="120" w:beforeLines="50" w:after="120" w:afterLines="50" w:line="360" w:lineRule="auto"/>
        <w:ind w:left="0" w:firstLine="562" w:firstLineChars="200"/>
        <w:jc w:val="both"/>
        <w:rPr>
          <w:rFonts w:ascii="Times New Roman" w:hAnsi="Times New Roman"/>
          <w:sz w:val="28"/>
          <w:szCs w:val="28"/>
          <w:lang w:val="en-US"/>
        </w:rPr>
      </w:pPr>
      <w:r>
        <w:rPr>
          <w:rFonts w:ascii="Times New Roman" w:hAnsi="Times New Roman"/>
          <w:b/>
          <w:bCs/>
          <w:sz w:val="28"/>
          <w:szCs w:val="28"/>
          <w:lang w:val="en-US"/>
        </w:rPr>
        <w:t>分类监管要点</w:t>
      </w:r>
    </w:p>
    <w:p w14:paraId="35575D2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日本按风险等级将医疗器械分为四类，通关监管强度逐类提升。</w:t>
      </w:r>
    </w:p>
    <w:p w14:paraId="739D546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对于I类（一般医疗器械），凭PMDA备案文件通关，海关实行形式核验；对于II类（管理医疗器械），须提供注册认证机构出具的合规认证证书；对于III、IV类（高度管理医疗器械），须提供厚生劳动大臣签发的产品批准书，海关实行重点单证核验，必要时联合药监部门实施现场查验。</w:t>
      </w:r>
    </w:p>
    <w:p w14:paraId="75BC7000">
      <w:pPr>
        <w:numPr>
          <w:ilvl w:val="0"/>
          <w:numId w:val="8"/>
        </w:numPr>
        <w:spacing w:before="120" w:beforeLines="50" w:after="120" w:afterLines="50" w:line="360" w:lineRule="auto"/>
        <w:ind w:left="0" w:firstLine="562" w:firstLineChars="200"/>
        <w:jc w:val="both"/>
        <w:rPr>
          <w:rFonts w:ascii="Times New Roman" w:hAnsi="Times New Roman"/>
          <w:sz w:val="28"/>
          <w:szCs w:val="28"/>
          <w:lang w:val="en-US"/>
        </w:rPr>
      </w:pPr>
      <w:r>
        <w:rPr>
          <w:rFonts w:ascii="Times New Roman" w:hAnsi="Times New Roman"/>
          <w:b/>
          <w:bCs/>
          <w:sz w:val="28"/>
          <w:szCs w:val="28"/>
          <w:lang w:val="en-US"/>
        </w:rPr>
        <w:t>标识与查验要求</w:t>
      </w:r>
    </w:p>
    <w:p w14:paraId="592195D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进口医疗器械最小销售单元须附有日文标签，载明产品名称、制造销售者名称及地址、制造编号或批号、使用期限等法定事项，标签内容须与批准文件一致。海关有权对货物实施开箱查验，核对实物与申报信息、准入文件的一致性；对高风险类医疗器械可实施抽样检测，相关费用及时间成本由进口方承担。</w:t>
      </w:r>
    </w:p>
    <w:p w14:paraId="787DBA28">
      <w:pPr>
        <w:numPr>
          <w:ilvl w:val="0"/>
          <w:numId w:val="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医疗器械上市准入体系</w:t>
      </w:r>
    </w:p>
    <w:p w14:paraId="0A5B9010">
      <w:pPr>
        <w:numPr>
          <w:ilvl w:val="0"/>
          <w:numId w:val="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监管法律与执行架构</w:t>
      </w:r>
    </w:p>
    <w:p w14:paraId="75B26F4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日本医疗器械上市准入的核心法律依据为PMD法，由MHLW行使行政监管与最终审批职权，PMDA负责技术审评、标准制定与日常事务执行，整体确立“风险分级管控、持证主体属地化、全生命周期覆盖”的监管原则。</w:t>
      </w:r>
    </w:p>
    <w:p w14:paraId="59640335">
      <w:pPr>
        <w:numPr>
          <w:ilvl w:val="0"/>
          <w:numId w:val="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风险分级准入机制</w:t>
      </w:r>
    </w:p>
    <w:p w14:paraId="6CDBF16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日本按产品风险程度由低到高将医疗器械划分为四类，对应差异化准入程序。</w:t>
      </w:r>
    </w:p>
    <w:p w14:paraId="4CC7EA02">
      <w:pPr>
        <w:numPr>
          <w:ilvl w:val="1"/>
          <w:numId w:val="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Ⅰ 类（一般医疗器械）</w:t>
      </w:r>
    </w:p>
    <w:p w14:paraId="2C692B9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风险极低，实行事后备案制，仅需向PMDA提交备案材料（届出）即可上市，无需事前技术审评。</w:t>
      </w:r>
    </w:p>
    <w:p w14:paraId="59B90F2C">
      <w:pPr>
        <w:numPr>
          <w:ilvl w:val="1"/>
          <w:numId w:val="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Ⅱ 类（管理医疗器械）</w:t>
      </w:r>
    </w:p>
    <w:p w14:paraId="2B87FF5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低至中度风险，已发布官方认证基准的产品，由PMDA认可的注册认证机构（RCB）开展合规性认证；未制定认证基准的产品，参照高风险类别走审批程序。</w:t>
      </w:r>
    </w:p>
    <w:p w14:paraId="1B5BD68C">
      <w:pPr>
        <w:numPr>
          <w:ilvl w:val="1"/>
          <w:numId w:val="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Ⅲ、Ⅳ 类（高度管理医疗器械）</w:t>
      </w:r>
    </w:p>
    <w:p w14:paraId="2D426AD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中高至高风险，须提交完整技术资料经PMDA科学审评，最终由厚生劳动大臣作出上市批准决定。其中Ⅳ类为植入式、生命支持类等高风险产品，审评要求最为严格。</w:t>
      </w:r>
    </w:p>
    <w:p w14:paraId="68097380">
      <w:pPr>
        <w:numPr>
          <w:ilvl w:val="0"/>
          <w:numId w:val="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市场准入持有人（MAH）制度</w:t>
      </w:r>
    </w:p>
    <w:p w14:paraId="4DA0D49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实行制造销售业许可管理制度，境外医疗器械生产企业不得直接以自身名义取得日本上市准入资格，须委托已取得日本都道府县知事核发《医疗器械制造销售业许可》的境内主体（MAH）作为持证方。MAH依法承担产品全生命周期的质量安全主体责任，包括技术文档留存、不良事件监测报告、产品召回实施、变更事项申报等法定责任。</w:t>
      </w:r>
    </w:p>
    <w:p w14:paraId="2E08453A">
      <w:pPr>
        <w:numPr>
          <w:ilvl w:val="0"/>
          <w:numId w:val="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准入核心合规要求</w:t>
      </w:r>
    </w:p>
    <w:p w14:paraId="0E54878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申请上市准入的产品须符合日本医疗器械品质基准，生产质量管理体系须满足PMDA 规定的QMS合规要求。Ⅱ类及以上产品须提交完整技术文件，涵盖设计验证、风险分析、性能检测、临床评价等核心内容；高风险产品的临床研究数据须符合日本GCP相关规范，部分产品需补充日本本土人群临床数据。</w:t>
      </w:r>
    </w:p>
    <w:p w14:paraId="5BE02E7E">
      <w:pPr>
        <w:numPr>
          <w:ilvl w:val="0"/>
          <w:numId w:val="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准入变更与持续合规</w:t>
      </w:r>
    </w:p>
    <w:p w14:paraId="4264798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已上市产品发生设计结构、性能规格、生产场地、质量管理体系等重大变更的，须根据变更对产品安全有效性的影响程度，分别向PMDA申请变更备案或变更批准。上市准入文件无固定有效期限，但MAH须持续保持制造销售业许可条件，严格履行上市后监测与再评价义务，违反法定要求的，监管部门可依法撤销其产品准入资格。</w:t>
      </w:r>
    </w:p>
    <w:p w14:paraId="23981800">
      <w:pPr>
        <w:numPr>
          <w:ilvl w:val="0"/>
          <w:numId w:val="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代理人制度</w:t>
      </w:r>
    </w:p>
    <w:p w14:paraId="1CDD828E">
      <w:pPr>
        <w:numPr>
          <w:ilvl w:val="0"/>
          <w:numId w:val="10"/>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制度法律依据与核心定位</w:t>
      </w:r>
    </w:p>
    <w:p w14:paraId="78E6512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依据PMD法，日本对境外生产的医疗器械实行属地责任主体强制制度：境外医疗器械生产企业不得直接以自身名义办理上市申报、进口通关、监管沟通等法定事务，必须指定日本境内合规主体作为其法定代理人，承担产品在日本市场的全生命周期质量安全法律责任。该制度以“责任属地化、监管可追溯”为核心原则，由MHLW与PMDA共同实施监督管理。</w:t>
      </w:r>
    </w:p>
    <w:p w14:paraId="36C467FD">
      <w:pPr>
        <w:numPr>
          <w:ilvl w:val="0"/>
          <w:numId w:val="10"/>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代理人主体类型与资质条件</w:t>
      </w:r>
    </w:p>
    <w:p w14:paraId="27D62383">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日本医疗器械境内代理人分为两类法定模式，对应不同资质要求。</w:t>
      </w:r>
    </w:p>
    <w:p w14:paraId="5D1D20D2">
      <w:pPr>
        <w:numPr>
          <w:ilvl w:val="1"/>
          <w:numId w:val="10"/>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制造销售业许可持有者（MAH）模式</w:t>
      </w:r>
    </w:p>
    <w:p w14:paraId="4180F60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代理人须为日本境内注册法人，取得经营所在地都道府县知事核发的《医疗器械制造销售业许可》，配备符合法定资格的质量管理负责人、安全管理负责人，建立满足医疗器械QMS省令、上市后安全管理省令要求的完整管理体系，持有对应产品的上市许可文件，是产品质量安全的首要责任主体。</w:t>
      </w:r>
    </w:p>
    <w:p w14:paraId="0B6B26F0">
      <w:pPr>
        <w:numPr>
          <w:ilvl w:val="1"/>
          <w:numId w:val="10"/>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指定制造销售业许可持有者（D-MAH）模式</w:t>
      </w:r>
    </w:p>
    <w:p w14:paraId="28C1881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代理人不持有产品上市许可所有权，仅受境外生产企业委托承担属地监管事务，资质要求与MAH一致，但该模式不适用于I类低风险医疗器械，更适合未在日本设立常设机构的境外中小型生产企业。</w:t>
      </w:r>
    </w:p>
    <w:p w14:paraId="238F08CA">
      <w:pPr>
        <w:numPr>
          <w:ilvl w:val="0"/>
          <w:numId w:val="10"/>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法定职责范围</w:t>
      </w:r>
    </w:p>
    <w:p w14:paraId="415101D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代理人的法定职责覆盖产品全监管周期。上市准入阶段，作为唯一申报主体提交全部技术资料，配合技术审评、生产现场核查，对接监管意见反馈；上市运营阶段，按规定开展不良事件监测与上报、产品追溯、缺陷产品召回、上市后再评价等工作；日常监管中，配合监管部门监督检查、抽样检验，完整留存产品技术、质量、流通相关记录至法定期限，并及时向境外生产企业传导日本法规标准更新要求。</w:t>
      </w:r>
    </w:p>
    <w:p w14:paraId="5BBFF0B0">
      <w:pPr>
        <w:numPr>
          <w:ilvl w:val="0"/>
          <w:numId w:val="10"/>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监管与责任划分</w:t>
      </w:r>
    </w:p>
    <w:p w14:paraId="6D81857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代理人与境外生产企业可通过书面协议约定内部权责划分，但代理人须向日本监管部门承担首要法律责任。代理人名称、办公场所、委托范围等事项发生变更的，应在30日内向PMDA办理变更备案。代理人未按规定履行法定义务的，监管部门可依法责令限期整改、暂停相关产品上市，情节严重的撤销其制造销售业许可及对应产品的上市准入资格。</w:t>
      </w:r>
    </w:p>
    <w:p w14:paraId="1CEB591E">
      <w:pPr>
        <w:numPr>
          <w:ilvl w:val="0"/>
          <w:numId w:val="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销售流通合规</w:t>
      </w:r>
    </w:p>
    <w:p w14:paraId="0BC690AB">
      <w:pPr>
        <w:numPr>
          <w:ilvl w:val="0"/>
          <w:numId w:val="1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经营资质分级管控</w:t>
      </w:r>
    </w:p>
    <w:p w14:paraId="5BA8AF8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依据PMD法，日本对医疗器械经营主体实行按产品风险等级差异化的资质管理，不单独划分批发与零售资质类别，同一经营许可可覆盖对应范围内的全部销售行为。高度管理医疗器械（Ⅲ、Ⅳ类）及特定保守管理医疗器械的经营，须取得经营场所所在地都道府县知事核发的医疗器械销售业许可，许可有效期为6年，按营业场所逐个核发；管理医疗器械（Ⅱ类，不含特定保守管理类）的经营无需事前许可，仅须向都道府县主管部门办理经营场所备案；一般医疗器械（Ⅰ类）的经营无资质许可要求，市场主体可依法自主开展销售活动。</w:t>
      </w:r>
    </w:p>
    <w:p w14:paraId="716201B0">
      <w:pPr>
        <w:numPr>
          <w:ilvl w:val="0"/>
          <w:numId w:val="1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流通模式与主体层级</w:t>
      </w:r>
    </w:p>
    <w:p w14:paraId="57E7B99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医疗器械流通市场形成“制造销售业者-销售业者-终端”的三级基本架构。持有制造销售业许可（MAH）的境内主体作为产品上市责任主体，承担一级流通放行职能，可直接向下游销售业者或医疗机构供货，也可授权多级经销商分销。单纯从事转售业务的经销商，根据所经营产品风险等级取得对应销售业许可或完成备案即可，无需重复取得产品上市准入文件。境外生产企业不得直接向日本境内终端客户销售产品，须通过MAH完成市场流通全链条管理。</w:t>
      </w:r>
    </w:p>
    <w:p w14:paraId="6FC8C5D3">
      <w:pPr>
        <w:numPr>
          <w:ilvl w:val="0"/>
          <w:numId w:val="1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销售对象范围限定</w:t>
      </w:r>
    </w:p>
    <w:p w14:paraId="045A314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医疗器械销售对象范围与产品风险等级直接挂钩：高度管理医疗器械及特定保守管理医疗器械仅限销售给医疗机构、持有相应资质的经营主体等专业对象，禁止向普通消费者个人零售；管理医疗器械中面向家庭使用的品类，在符合家用医疗器械标识、说明书规范的前提下，可通过零售渠道向个人消费者销售；一般医疗器械不受销售对象限制，可自由面向机构及个人流通。向个人销售的家用医疗器械，须在产品包装及说明书中以醒目方式载明使用注意事项、适用人群限制及必要的就医提示。</w:t>
      </w:r>
    </w:p>
    <w:p w14:paraId="132153ED">
      <w:pPr>
        <w:numPr>
          <w:ilvl w:val="0"/>
          <w:numId w:val="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医疗器械广告与促销合规</w:t>
      </w:r>
    </w:p>
    <w:p w14:paraId="009D6A7E">
      <w:pPr>
        <w:numPr>
          <w:ilvl w:val="0"/>
          <w:numId w:val="12"/>
        </w:numPr>
        <w:spacing w:before="120" w:beforeLines="50" w:after="120" w:afterLines="50" w:line="360" w:lineRule="auto"/>
        <w:ind w:left="0" w:firstLine="562" w:firstLineChars="200"/>
        <w:jc w:val="both"/>
        <w:rPr>
          <w:rFonts w:ascii="Times New Roman" w:hAnsi="Times New Roman"/>
          <w:sz w:val="28"/>
          <w:szCs w:val="28"/>
          <w:lang w:val="en-US"/>
        </w:rPr>
      </w:pPr>
      <w:r>
        <w:rPr>
          <w:rFonts w:ascii="Times New Roman" w:hAnsi="Times New Roman"/>
          <w:b/>
          <w:bCs/>
          <w:sz w:val="28"/>
          <w:szCs w:val="28"/>
          <w:lang w:val="en-US"/>
        </w:rPr>
        <w:t>监管法律体系</w:t>
      </w:r>
    </w:p>
    <w:p w14:paraId="320B0A83">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医疗器械广告促销监管以PMD法第66至68条为核心法律依据，厚生劳动省颁布的《医药品等适当广告基准》为具体执行准则，同时适用《不当赠品及不当表示防止法》《不正当竞争防止法》的通用规制条款，形成“法律+行政基准+行业自律”三层监管体系。厚生劳动省及PMDA履行法定监管职责，日本医疗器械产业联合会等行业组织制定自律规范并提供广告事前审核服务。</w:t>
      </w:r>
    </w:p>
    <w:p w14:paraId="6C9F19E8">
      <w:pPr>
        <w:numPr>
          <w:ilvl w:val="0"/>
          <w:numId w:val="12"/>
        </w:numPr>
        <w:spacing w:before="120" w:beforeLines="50" w:after="120" w:afterLines="50" w:line="360" w:lineRule="auto"/>
        <w:ind w:left="0" w:firstLine="562" w:firstLineChars="200"/>
        <w:jc w:val="both"/>
        <w:rPr>
          <w:rFonts w:ascii="Times New Roman" w:hAnsi="Times New Roman"/>
          <w:sz w:val="28"/>
          <w:szCs w:val="28"/>
          <w:lang w:val="en-US"/>
        </w:rPr>
      </w:pPr>
      <w:r>
        <w:rPr>
          <w:rFonts w:ascii="Times New Roman" w:hAnsi="Times New Roman"/>
          <w:b/>
          <w:bCs/>
          <w:sz w:val="28"/>
          <w:szCs w:val="28"/>
          <w:lang w:val="en-US"/>
        </w:rPr>
        <w:t>广告内容通用禁止规范</w:t>
      </w:r>
    </w:p>
    <w:p w14:paraId="2EB1C83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所有医疗器械广告宣传须严格限定在产品上市批准、认证或备案载明的性能、功效、适用范围之内，禁止五类违规情形：（1）对产品名称、制造方法、效能、性能作虚假或夸大表述；（2）使用易被误解为医师等专业人员作出保证的表述；（3）宣传未取得日本市场准入资质的产品；（4）诱导超适应症使用或滥用产品；（5）通过贬低同类产品、引用未公开临床数据等方式进行不正当竞争。广告中引用的临床数据、试验结果须具备科学依据并可追溯。</w:t>
      </w:r>
    </w:p>
    <w:p w14:paraId="755AA9A3">
      <w:pPr>
        <w:numPr>
          <w:ilvl w:val="0"/>
          <w:numId w:val="12"/>
        </w:numPr>
        <w:spacing w:before="120" w:beforeLines="50" w:after="120" w:afterLines="50" w:line="360" w:lineRule="auto"/>
        <w:ind w:left="0" w:firstLine="562" w:firstLineChars="200"/>
        <w:jc w:val="both"/>
        <w:rPr>
          <w:rFonts w:ascii="Times New Roman" w:hAnsi="Times New Roman"/>
          <w:sz w:val="28"/>
          <w:szCs w:val="28"/>
          <w:lang w:val="en-US"/>
        </w:rPr>
      </w:pPr>
      <w:r>
        <w:rPr>
          <w:rFonts w:ascii="Times New Roman" w:hAnsi="Times New Roman"/>
          <w:b/>
          <w:bCs/>
          <w:sz w:val="28"/>
          <w:szCs w:val="28"/>
          <w:lang w:val="en-US"/>
        </w:rPr>
        <w:t>分受众分级监管规则</w:t>
      </w:r>
    </w:p>
    <w:p w14:paraId="322AD33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日本按宣传对象实行差异化广告管控。</w:t>
      </w:r>
    </w:p>
    <w:p w14:paraId="2FF6C346">
      <w:pPr>
        <w:numPr>
          <w:ilvl w:val="1"/>
          <w:numId w:val="12"/>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面向普通消费者广告</w:t>
      </w:r>
    </w:p>
    <w:p w14:paraId="28AE0E6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仅厚生劳动省指定的家用类医疗器械（如体温计、血压计、自动体外除颤器、助听器等）可通过大众媒介向公众宣传，其余专业用医疗器械一律禁止面向普通消费者发布广告。面向消费者的广告不得含有鼓励自我诊断、自我治疗的误导性内容，须以醒目方式标注使用注意事项及就医建议。</w:t>
      </w:r>
    </w:p>
    <w:p w14:paraId="386C35B4">
      <w:pPr>
        <w:numPr>
          <w:ilvl w:val="1"/>
          <w:numId w:val="12"/>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面向医疗专业人员推广</w:t>
      </w:r>
    </w:p>
    <w:p w14:paraId="2A55068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专业用医疗器械仅可通过专业期刊、学术会议、定向技术资料等渠道向具备资质的医护人员推广，推广渠道须设置受众身份甄别机制，不得向非专业人群公开。推广内容同样不得超出批准文件范围。</w:t>
      </w:r>
    </w:p>
    <w:p w14:paraId="1AE7E4C6">
      <w:pPr>
        <w:numPr>
          <w:ilvl w:val="0"/>
          <w:numId w:val="12"/>
        </w:numPr>
        <w:spacing w:before="120" w:beforeLines="50" w:after="120" w:afterLines="50" w:line="360" w:lineRule="auto"/>
        <w:ind w:left="0" w:firstLine="562" w:firstLineChars="200"/>
        <w:jc w:val="both"/>
        <w:rPr>
          <w:rFonts w:ascii="Times New Roman" w:hAnsi="Times New Roman"/>
          <w:sz w:val="28"/>
          <w:szCs w:val="28"/>
          <w:lang w:val="en-US"/>
        </w:rPr>
      </w:pPr>
      <w:r>
        <w:rPr>
          <w:rFonts w:ascii="Times New Roman" w:hAnsi="Times New Roman"/>
          <w:b/>
          <w:bCs/>
          <w:sz w:val="28"/>
          <w:szCs w:val="28"/>
          <w:lang w:val="en-US"/>
        </w:rPr>
        <w:t>违法责任</w:t>
      </w:r>
    </w:p>
    <w:p w14:paraId="4D404C3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违反广告监管规定的，监管部门可依法责令停止发布、限期改正；对虚假夸大广告行为，可按违法产品对应期间销售额的4.5%征收课征金；情节严重的，可处有期徒刑及罚金，同时可暂停或撤销相关产品的上市准入资格。因不当广告造成消费者损害的，还须依法承担民事赔偿责任。</w:t>
      </w:r>
    </w:p>
    <w:p w14:paraId="36B863A6">
      <w:pPr>
        <w:numPr>
          <w:ilvl w:val="0"/>
          <w:numId w:val="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反商业贿赂与HCP交往合规</w:t>
      </w:r>
    </w:p>
    <w:p w14:paraId="5AD39B57">
      <w:pPr>
        <w:numPr>
          <w:ilvl w:val="0"/>
          <w:numId w:val="13"/>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规制体系架构</w:t>
      </w:r>
    </w:p>
    <w:p w14:paraId="02FB2FC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日本对医疗器械领域商业贿赂及医疗保健专业人员（HCP）交往实行“法律强制+行业自律”双层规制体系。法律层面以《日本刑法》《不正当竞争防止法》《不当赠品及不当表示防止法》及PMD 法为核心，分别规制公职人员贿赂、海外公职人员贿赂、不当利益输送及药监领域行贿行为；行业层面由日本医疗器械产业公平竞争协议会制定《公正竞争规约》（FCC），明确HCP交往的具体实操标准，由厚生劳动省及公平交易委员会监督实施。所有MAH、经销商及相关市场主体均受该体系约束。</w:t>
      </w:r>
    </w:p>
    <w:p w14:paraId="796395BD">
      <w:pPr>
        <w:numPr>
          <w:ilvl w:val="0"/>
          <w:numId w:val="13"/>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商业贿赂法定红线</w:t>
      </w:r>
    </w:p>
    <w:p w14:paraId="7C746E5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针对不同交往对象设定差异化禁止规则。一是公职类主体行贿禁止，公立医疗机构、国立大学附属医院的医护人员属于刑法认定的“准公职人员”，为谋取产品采购、临床优先使用等不正当利益，向其提供金钱、财物、服务等任何形式利益的，构成刑事贿赂犯罪，对个人最高处3年有期徒刑或250万日元罚金，对单位可依法处以罚金。向PMDA、注册认证机构工作人员行贿的，依PMD法规定最高可处7年有期徒刑。二是非公立主体不当利益输送禁止，依据《不当赠品及不当表示防止法》，禁止以诱导产品交易为目的，超出正常商业惯例范围向私立医疗机构及医护人员提供赠品、招待等不当利益。</w:t>
      </w:r>
    </w:p>
    <w:p w14:paraId="19B91788">
      <w:pPr>
        <w:numPr>
          <w:ilvl w:val="0"/>
          <w:numId w:val="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上市后警戒与产品责任</w:t>
      </w:r>
    </w:p>
    <w:p w14:paraId="6CC88ADB">
      <w:pPr>
        <w:numPr>
          <w:ilvl w:val="0"/>
          <w:numId w:val="14"/>
        </w:numPr>
        <w:spacing w:before="120" w:beforeLines="50" w:after="120" w:afterLines="50" w:line="360" w:lineRule="auto"/>
        <w:ind w:left="0" w:firstLine="562" w:firstLineChars="200"/>
        <w:jc w:val="both"/>
        <w:rPr>
          <w:rFonts w:ascii="Times New Roman" w:hAnsi="Times New Roman"/>
          <w:sz w:val="28"/>
          <w:szCs w:val="28"/>
          <w:lang w:val="en-US"/>
        </w:rPr>
      </w:pPr>
      <w:r>
        <w:rPr>
          <w:rFonts w:ascii="Times New Roman" w:hAnsi="Times New Roman"/>
          <w:b/>
          <w:bCs/>
          <w:sz w:val="28"/>
          <w:szCs w:val="28"/>
          <w:lang w:val="en-US"/>
        </w:rPr>
        <w:t>监管体系与责任主体</w:t>
      </w:r>
    </w:p>
    <w:p w14:paraId="6483D43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医疗器械上市后安全监管以PMD法第68条系列规定为核心法律依据，由MHLW统筹行使行政监管职权，PMDA承担不良事件受理、风险技术评估、召回流程监督等具体执行事务。MAH为上市后安全管理的法定第一责任主体，境外生产企业须协同MAH履行各项安全义务，不得脱离境内责任主体独立开展上市后警戒相关活动。</w:t>
      </w:r>
    </w:p>
    <w:p w14:paraId="3071281C">
      <w:pPr>
        <w:numPr>
          <w:ilvl w:val="0"/>
          <w:numId w:val="14"/>
        </w:numPr>
        <w:spacing w:before="120" w:beforeLines="50" w:after="120" w:afterLines="50" w:line="360" w:lineRule="auto"/>
        <w:ind w:left="0" w:firstLine="562" w:firstLineChars="200"/>
        <w:jc w:val="both"/>
        <w:rPr>
          <w:rFonts w:ascii="Times New Roman" w:hAnsi="Times New Roman"/>
          <w:sz w:val="28"/>
          <w:szCs w:val="28"/>
          <w:lang w:val="en-US"/>
        </w:rPr>
      </w:pPr>
      <w:r>
        <w:rPr>
          <w:rFonts w:ascii="Times New Roman" w:hAnsi="Times New Roman"/>
          <w:b/>
          <w:bCs/>
          <w:sz w:val="28"/>
          <w:szCs w:val="28"/>
          <w:lang w:val="en-US"/>
        </w:rPr>
        <w:t>不良事件监测报告义务</w:t>
      </w:r>
    </w:p>
    <w:p w14:paraId="001C83C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MAH须建立覆盖产品全流通链条的不良事件监测机制，获悉产品功能故障、使用不良事件、器械相关感染等情形后，按风险等级在法定时限内通过PMDA专用电子报告系统提交报告：可能引发死亡或严重健康损害的事件及感染事件，须于获悉后15日内报送；导致住院或住院时长延长的不良事件、存在重发风险的产品故障，须于30日内报送；已在说明书中明确载明的已知常见不良反应，按常规周期汇总报告。同时，MAH 须定期提交安全性定期报告，系统梳理产品安全数据与风险演化趋势。</w:t>
      </w:r>
    </w:p>
    <w:p w14:paraId="60F744D3">
      <w:pPr>
        <w:numPr>
          <w:ilvl w:val="0"/>
          <w:numId w:val="14"/>
        </w:numPr>
        <w:spacing w:before="120" w:beforeLines="50" w:after="120" w:afterLines="50" w:line="360" w:lineRule="auto"/>
        <w:ind w:left="0" w:firstLine="562" w:firstLineChars="200"/>
        <w:jc w:val="both"/>
        <w:rPr>
          <w:rFonts w:ascii="Times New Roman" w:hAnsi="Times New Roman"/>
          <w:sz w:val="28"/>
          <w:szCs w:val="28"/>
          <w:lang w:val="en-US"/>
        </w:rPr>
      </w:pPr>
      <w:r>
        <w:rPr>
          <w:rFonts w:ascii="Times New Roman" w:hAnsi="Times New Roman"/>
          <w:b/>
          <w:bCs/>
          <w:sz w:val="28"/>
          <w:szCs w:val="28"/>
          <w:lang w:val="en-US"/>
        </w:rPr>
        <w:t>产品召回分级管控机制</w:t>
      </w:r>
    </w:p>
    <w:p w14:paraId="091837F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按产品缺陷的健康风险程度，将医疗器械召回划分为三个等级：Ⅰ级召回适用于使用后可能造成严重健康损害或死亡的产品；Ⅱ级召回适用于可能引发暂时性或医学可逆性健康损害的产品；Ⅲ级召回适用于基本不涉及健康危害，但违反法规标准或标识管理要求的产品。召回可由 MAH 主动发起，也可由监管部门责令实施。MAH启动召回后须立即向PMDA报备召回方案，明确缺陷成因、波及范围、纠正措施与实施节点，PMDA通过官方渠道向公众披露召回信息。</w:t>
      </w:r>
    </w:p>
    <w:p w14:paraId="01278A0C">
      <w:pPr>
        <w:numPr>
          <w:ilvl w:val="0"/>
          <w:numId w:val="14"/>
        </w:numPr>
        <w:spacing w:before="120" w:beforeLines="50" w:after="120" w:afterLines="50" w:line="360" w:lineRule="auto"/>
        <w:ind w:left="0" w:firstLine="562" w:firstLineChars="200"/>
        <w:jc w:val="both"/>
        <w:rPr>
          <w:rFonts w:ascii="Times New Roman" w:hAnsi="Times New Roman"/>
          <w:sz w:val="28"/>
          <w:szCs w:val="28"/>
          <w:lang w:val="en-US"/>
        </w:rPr>
      </w:pPr>
      <w:r>
        <w:rPr>
          <w:rFonts w:ascii="Times New Roman" w:hAnsi="Times New Roman"/>
          <w:b/>
          <w:bCs/>
          <w:sz w:val="28"/>
          <w:szCs w:val="28"/>
          <w:lang w:val="en-US"/>
        </w:rPr>
        <w:t>产品责任法律规制</w:t>
      </w:r>
    </w:p>
    <w:p w14:paraId="64E7B23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医疗器械产品责任适用日本《制造物责任法》，对制造商、进口商适用无过错责任归责原则。因产品设计缺陷、制造缺陷或指示警示缺陷造成他人人身、财产损害的，受害人可直接向责任主体主张损害赔偿，无需举证证明其存在过失。法定免责事由仅限于产品交付时的科学技术水平无法预见的缺陷等法定情形。境内MAH作为进口销售主体，依法承担产品首要责任，境外生产企业就产品缺陷依法承担相应连带责任。</w:t>
      </w:r>
    </w:p>
    <w:p w14:paraId="27ADE418">
      <w:pPr>
        <w:numPr>
          <w:ilvl w:val="0"/>
          <w:numId w:val="14"/>
        </w:numPr>
        <w:spacing w:before="120" w:beforeLines="50" w:after="120" w:afterLines="50" w:line="360" w:lineRule="auto"/>
        <w:ind w:left="0" w:firstLine="562" w:firstLineChars="200"/>
        <w:jc w:val="both"/>
        <w:rPr>
          <w:rFonts w:ascii="Times New Roman" w:hAnsi="Times New Roman"/>
          <w:sz w:val="28"/>
          <w:szCs w:val="28"/>
          <w:lang w:val="en-US"/>
        </w:rPr>
      </w:pPr>
      <w:r>
        <w:rPr>
          <w:rFonts w:ascii="Times New Roman" w:hAnsi="Times New Roman"/>
          <w:b/>
          <w:bCs/>
          <w:sz w:val="28"/>
          <w:szCs w:val="28"/>
          <w:lang w:val="en-US"/>
        </w:rPr>
        <w:t>法律责任</w:t>
      </w:r>
    </w:p>
    <w:p w14:paraId="55143D6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未按规定履行不良事件报告、产品召回等法定义务的，监管部门可依法责令限期改正、暂停相关产品上市销售；情节严重的，撤销对应产品的上市许可及主体制造销售业许可，并处以罚金。因产品缺陷引发重大安全事故且构成犯罪的，相关责任人还将依法承担刑事责任。</w:t>
      </w:r>
    </w:p>
    <w:p w14:paraId="0484FD67">
      <w:pPr>
        <w:numPr>
          <w:ilvl w:val="0"/>
          <w:numId w:val="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数据合规和隐私保护</w:t>
      </w:r>
    </w:p>
    <w:p w14:paraId="7CFA0F7D">
      <w:pPr>
        <w:numPr>
          <w:ilvl w:val="0"/>
          <w:numId w:val="15"/>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监管法律体系</w:t>
      </w:r>
    </w:p>
    <w:p w14:paraId="20311BA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医疗器械领域数据合规与隐私保护构建“通用立法+行业专项规制”双层法律框架。通用层面以《个人信息保护法》（APPI）为核心，由个人信息保护委员会（PPC）行使统一监管职权，确立个人信息处理的基本规则；行业层面由厚生劳动省发布《医疗</w:t>
      </w:r>
      <w:r>
        <w:rPr>
          <w:rFonts w:hint="eastAsia" w:ascii="微软雅黑" w:hAnsi="微软雅黑" w:eastAsia="微软雅黑" w:cs="微软雅黑"/>
          <w:sz w:val="28"/>
          <w:szCs w:val="28"/>
          <w:lang w:val="en-US"/>
        </w:rPr>
        <w:t>・</w:t>
      </w:r>
      <w:r>
        <w:rPr>
          <w:rFonts w:hint="eastAsia"/>
          <w:sz w:val="28"/>
          <w:szCs w:val="28"/>
          <w:lang w:val="en-US"/>
        </w:rPr>
        <w:t>介护相关事业者个人信息适当处理指南》，</w:t>
      </w:r>
      <w:r>
        <w:rPr>
          <w:rFonts w:ascii="Times New Roman" w:hAnsi="Times New Roman"/>
          <w:sz w:val="28"/>
          <w:szCs w:val="28"/>
          <w:lang w:val="en-US"/>
        </w:rPr>
        <w:t>PMDA制定《医疗器械网络安全确保指南》等技术规范，针对医疗敏感数据、器械运行数据提出专项管理要求。同时，PMD法对临床数据管理、上市后安全数据报送设有专门约束条款。</w:t>
      </w:r>
    </w:p>
    <w:p w14:paraId="16FECF94">
      <w:pPr>
        <w:numPr>
          <w:ilvl w:val="0"/>
          <w:numId w:val="15"/>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数据分级保护机制</w:t>
      </w:r>
    </w:p>
    <w:p w14:paraId="486E288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按数据敏感程度实施差异化保护。一是一般个人信息，适用APPI通用规则，处理活动须取得本人同意或符合法定例外情形；二是医疗敏感个人信息，涵盖患者诊疗记录、健康指标、器械使用数据等，属于重点保护范畴，除法定豁免情形外，处理须取得本人书面同意，且不得超出诊疗服务、产品安全监测等既定目的范围；三是特定生物识别信息，根据2026年APPI修订案，指纹、声纹、面部特征等生物识别数据列为独立保护类别，禁止采用事后异议（opt-out）模式向第三方提供，处理前须履行额外的透明告知义务。</w:t>
      </w:r>
    </w:p>
    <w:p w14:paraId="45165D26">
      <w:pPr>
        <w:numPr>
          <w:ilvl w:val="0"/>
          <w:numId w:val="15"/>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跨境数据传输规则</w:t>
      </w:r>
    </w:p>
    <w:p w14:paraId="06004FE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向日本境外传输个人信息须遵守APPI跨境传输限制条款。原则上应取得本人明确同意，或数据接收方所属国家/地区属于PPC认定的具有同等个人信息保护水平的区域；未取得本人同意的，须确保接收方建立符合日本法定标准的保护体系，并签署书面数据处理协议。因上市后警戒、产品质量追溯需向境外生产企业传输临床数据、不良事件数据的，可适用“业务委托”例外，但须对数据作去标识化处理，且MAH须持续监督境外接收方的数据保护措施。</w:t>
      </w:r>
    </w:p>
    <w:p w14:paraId="5506F7C3">
      <w:pPr>
        <w:numPr>
          <w:ilvl w:val="0"/>
          <w:numId w:val="15"/>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法律责任</w:t>
      </w:r>
    </w:p>
    <w:p w14:paraId="075BC45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违反APPI规定的，监管部门可责令限期整改，2026年修订案新增行政课征金制度，显著提高违法成本；构成犯罪的，相关责任人可处1年以下有期徒刑或100万日元以下罚金。违反医疗数据专项管理规定的，厚生劳动省可依据PMD法暂停相关产品上市销售，情节严重的撤销其产品上市准入资格。</w:t>
      </w:r>
    </w:p>
    <w:p w14:paraId="66870E0C">
      <w:pPr>
        <w:numPr>
          <w:ilvl w:val="0"/>
          <w:numId w:val="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贸易救济与调查</w:t>
      </w:r>
    </w:p>
    <w:p w14:paraId="6632CC28">
      <w:pPr>
        <w:numPr>
          <w:ilvl w:val="0"/>
          <w:numId w:val="1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监管法律体系与执行架构</w:t>
      </w:r>
    </w:p>
    <w:p w14:paraId="45CF06A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贸易救济制度以《关税定率法》为核心立法，分别通过第7条、第8条、第9条确立反补贴（相杀关税）、反倾销（不当廉卖关税）、保障措施（紧急关税）三类法定措施，配套出台专项政令细化启动要件、调查程序与实施标准，规则体系全面对接WTO相关多边贸易规则。事务执行层面，由财务省牵头统筹，经济产业省共同参与，两部门组建联合调查机构负责案件审理与裁决，日本海关承担具体税费征管与措施执行职能。</w:t>
      </w:r>
    </w:p>
    <w:p w14:paraId="323F12A1">
      <w:pPr>
        <w:numPr>
          <w:ilvl w:val="0"/>
          <w:numId w:val="1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反倾销调查机制</w:t>
      </w:r>
    </w:p>
    <w:p w14:paraId="38BA7BC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反倾销调查以国内产业申请启动为主要方式，申请主体产量需占日本国内同类产品总产量25%以上，且支持申请的企业产量超过反对企业产量总和；必要时主管机关也可依职权主动启动调查。调查周期原则上不超过1年，最长可延长至18个月，依次经过申请受理审查、调查启动公告、利害关系方问卷、事实核查、初步裁决、最终裁决等程序。终裁认定倾销成立并造成国内产业实质损害的，征收不超过倾销幅度的反倾销税，措施有效期原则为5年，期满可经复审延长。2026年日本实施反倾销迂回防止制度，对通过第三国转口、拆分组装等方式规避反倾销税的产品，可适用快速调查程序并征收等额关税。</w:t>
      </w:r>
    </w:p>
    <w:p w14:paraId="652BAAEE">
      <w:pPr>
        <w:numPr>
          <w:ilvl w:val="0"/>
          <w:numId w:val="1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反补贴调查规则</w:t>
      </w:r>
    </w:p>
    <w:p w14:paraId="111F18A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反补贴调查针对出口国政府提供专项补贴的进口产品，需同时满足存在补贴事实、国内产业遭受实质损害、补贴与损害之间存在因果关系三项法定要件。调查程序与反倾销调查基本一致，终裁认定成立的，征收不超过实际补贴金额的反补贴税。医疗器械行业需重点关注研发补贴、出口信贷、地方产业扶持等可能被认定为专项补贴的政府支持措施。</w:t>
      </w:r>
    </w:p>
    <w:p w14:paraId="2F071E42">
      <w:pPr>
        <w:pStyle w:val="26"/>
        <w:numPr>
          <w:ilvl w:val="1"/>
          <w:numId w:val="6"/>
        </w:numPr>
        <w:spacing w:before="120" w:beforeLines="50" w:after="120" w:afterLines="50" w:line="360" w:lineRule="auto"/>
        <w:jc w:val="center"/>
        <w:rPr>
          <w:rFonts w:ascii="Times New Roman" w:hAnsi="Times New Roman"/>
          <w:b/>
          <w:bCs/>
          <w:sz w:val="28"/>
          <w:szCs w:val="28"/>
          <w:lang w:val="en-GB"/>
        </w:rPr>
      </w:pPr>
      <w:r>
        <w:rPr>
          <w:rFonts w:hint="eastAsia" w:ascii="Times New Roman" w:hAnsi="Times New Roman"/>
          <w:b/>
          <w:bCs/>
          <w:sz w:val="28"/>
          <w:szCs w:val="28"/>
          <w:lang w:val="en-GB"/>
        </w:rPr>
        <w:t xml:space="preserve"> 中东地区</w:t>
      </w:r>
    </w:p>
    <w:p w14:paraId="3F20A8B0">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海湾</w:t>
      </w:r>
      <w:r>
        <w:rPr>
          <w:rFonts w:hint="eastAsia" w:ascii="Times New Roman" w:hAnsi="Times New Roman"/>
          <w:b/>
          <w:bCs/>
          <w:sz w:val="28"/>
          <w:szCs w:val="28"/>
          <w:lang w:val="en-GB"/>
        </w:rPr>
        <w:t>阿拉伯国家</w:t>
      </w:r>
      <w:r>
        <w:rPr>
          <w:rFonts w:ascii="Times New Roman" w:hAnsi="Times New Roman"/>
          <w:b/>
          <w:bCs/>
          <w:sz w:val="28"/>
          <w:szCs w:val="28"/>
          <w:lang w:val="en-GB"/>
        </w:rPr>
        <w:t>合作委员会</w:t>
      </w:r>
    </w:p>
    <w:p w14:paraId="10782DA6">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中东地区不存在覆盖所有国家的统一医疗器械注册体系，海湾阿拉伯国家合作委员会（GCC）框架下，由海湾标准化组织（GSO）牵头制定区域统一的医疗器械技术标准，涵盖风险管理、质量管理体系等通用要求，为各国监管提供统一技术参照</w:t>
      </w:r>
      <w:r>
        <w:rPr>
          <w:rFonts w:hint="eastAsia" w:ascii="Times New Roman" w:hAnsi="Times New Roman"/>
          <w:sz w:val="28"/>
          <w:szCs w:val="28"/>
          <w:lang w:val="en-GB"/>
        </w:rPr>
        <w:t>。</w:t>
      </w:r>
      <w:r>
        <w:rPr>
          <w:rFonts w:ascii="Times New Roman" w:hAnsi="Times New Roman"/>
          <w:sz w:val="28"/>
          <w:szCs w:val="28"/>
          <w:lang w:val="en-GB"/>
        </w:rPr>
        <w:t>GCC推行统一的医疗器械合格评定制度，获得GCC认证的产品可在所有成员国境内享受简化注册流程，但尚未实现完全的</w:t>
      </w:r>
      <w:r>
        <w:rPr>
          <w:rFonts w:hint="eastAsia" w:ascii="Times New Roman" w:hAnsi="Times New Roman"/>
          <w:sz w:val="28"/>
          <w:szCs w:val="28"/>
          <w:lang w:val="en-GB"/>
        </w:rPr>
        <w:t>“</w:t>
      </w:r>
      <w:r>
        <w:rPr>
          <w:rFonts w:ascii="Times New Roman" w:hAnsi="Times New Roman"/>
          <w:sz w:val="28"/>
          <w:szCs w:val="28"/>
          <w:lang w:val="en-GB"/>
        </w:rPr>
        <w:t>一次注册、全境流通</w:t>
      </w:r>
      <w:r>
        <w:rPr>
          <w:rFonts w:hint="eastAsia" w:ascii="Times New Roman" w:hAnsi="Times New Roman"/>
          <w:sz w:val="28"/>
          <w:szCs w:val="28"/>
          <w:lang w:val="en-GB"/>
        </w:rPr>
        <w:t>”，</w:t>
      </w:r>
      <w:r>
        <w:rPr>
          <w:rFonts w:ascii="Times New Roman" w:hAnsi="Times New Roman"/>
          <w:sz w:val="28"/>
          <w:szCs w:val="28"/>
          <w:lang w:val="en-GB"/>
        </w:rPr>
        <w:t>各国仍保留独立的产品注册审批权与上市后监管权。</w:t>
      </w:r>
    </w:p>
    <w:p w14:paraId="62F43231">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沙特阿拉伯</w:t>
      </w:r>
    </w:p>
    <w:p w14:paraId="3A2F7E3A">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沙特医疗器械监管以《医疗器械与用品法》（皇家法令M/54）为顶层法律依据，配套沙特食品药品监督管理局（SFDA</w:t>
      </w:r>
      <w:r>
        <w:rPr>
          <w:rFonts w:hint="eastAsia" w:ascii="Times New Roman" w:hAnsi="Times New Roman"/>
          <w:sz w:val="28"/>
          <w:szCs w:val="28"/>
          <w:lang w:val="en-GB"/>
        </w:rPr>
        <w:t>）</w:t>
      </w:r>
      <w:r>
        <w:rPr>
          <w:rFonts w:ascii="Times New Roman" w:hAnsi="Times New Roman"/>
          <w:sz w:val="28"/>
          <w:szCs w:val="28"/>
          <w:lang w:val="en-GB"/>
        </w:rPr>
        <w:t>发布的系列技术指南，覆盖上市许可、运输储存、广告管理、上市后监管等全环节要求，2025 年以来陆续更新了机构许可、生物技术器械、数字医疗产品等专项规范，监管体系完整。执法机关为沙特食品药品监督管理局（SFDA），统一负责产品注册审批、经营资质许可、上市后监督、市场稽查与缺陷召回，下设国家医疗器械报告中心（NCMDR）具体承担不良事件监测、安全信息发布与警戒管理职能。</w:t>
      </w:r>
    </w:p>
    <w:p w14:paraId="3893CD79">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沙特医疗器械监管法规</w:t>
      </w:r>
      <w:r>
        <w:rPr>
          <w:rFonts w:ascii="Times New Roman" w:hAnsi="Times New Roman"/>
          <w:sz w:val="28"/>
          <w:szCs w:val="28"/>
          <w:lang w:val="en-GB"/>
        </w:rPr>
        <w:t>以经营场所许可（Establishment License） 为核心</w:t>
      </w:r>
      <w:r>
        <w:rPr>
          <w:rFonts w:hint="eastAsia" w:ascii="Times New Roman" w:hAnsi="Times New Roman"/>
          <w:sz w:val="28"/>
          <w:szCs w:val="28"/>
          <w:lang w:val="en-GB"/>
        </w:rPr>
        <w:t>，</w:t>
      </w:r>
      <w:r>
        <w:rPr>
          <w:rFonts w:ascii="Times New Roman" w:hAnsi="Times New Roman"/>
          <w:sz w:val="28"/>
          <w:szCs w:val="28"/>
          <w:lang w:val="en-GB"/>
        </w:rPr>
        <w:t>涵盖</w:t>
      </w:r>
      <w:r>
        <w:rPr>
          <w:rFonts w:hint="eastAsia" w:ascii="Times New Roman" w:hAnsi="Times New Roman"/>
          <w:sz w:val="28"/>
          <w:szCs w:val="28"/>
          <w:lang w:val="en-GB"/>
        </w:rPr>
        <w:t>了医疗器械</w:t>
      </w:r>
      <w:r>
        <w:rPr>
          <w:rFonts w:ascii="Times New Roman" w:hAnsi="Times New Roman"/>
          <w:sz w:val="28"/>
          <w:szCs w:val="28"/>
          <w:lang w:val="en-GB"/>
        </w:rPr>
        <w:t>全链条</w:t>
      </w:r>
      <w:r>
        <w:rPr>
          <w:rFonts w:hint="eastAsia" w:ascii="Times New Roman" w:hAnsi="Times New Roman"/>
          <w:sz w:val="28"/>
          <w:szCs w:val="28"/>
          <w:lang w:val="en-GB"/>
        </w:rPr>
        <w:t>十类</w:t>
      </w:r>
      <w:r>
        <w:rPr>
          <w:rFonts w:ascii="Times New Roman" w:hAnsi="Times New Roman"/>
          <w:sz w:val="28"/>
          <w:szCs w:val="28"/>
          <w:lang w:val="en-GB"/>
        </w:rPr>
        <w:t>服务</w:t>
      </w:r>
      <w:r>
        <w:rPr>
          <w:rFonts w:hint="eastAsia" w:ascii="Times New Roman" w:hAnsi="Times New Roman"/>
          <w:sz w:val="28"/>
          <w:szCs w:val="28"/>
          <w:lang w:val="en-GB"/>
        </w:rPr>
        <w:t>提供者</w:t>
      </w:r>
      <w:r>
        <w:rPr>
          <w:rFonts w:ascii="Times New Roman" w:hAnsi="Times New Roman"/>
          <w:sz w:val="28"/>
          <w:szCs w:val="28"/>
          <w:lang w:val="en-GB"/>
        </w:rPr>
        <w:t xml:space="preserve">。每一类主体均须独立向SFDA申请经营场所许可证，许可证有效期通常为一年。对于中国制造商而言，最关键的主体是授权代表（AR） </w:t>
      </w:r>
      <w:r>
        <w:rPr>
          <w:rFonts w:hint="eastAsia" w:ascii="Times New Roman" w:hAnsi="Times New Roman"/>
          <w:sz w:val="28"/>
          <w:szCs w:val="28"/>
          <w:lang w:val="en-GB"/>
        </w:rPr>
        <w:t>，其定义为“</w:t>
      </w:r>
      <w:r>
        <w:rPr>
          <w:rFonts w:ascii="Times New Roman" w:hAnsi="Times New Roman"/>
          <w:sz w:val="28"/>
          <w:szCs w:val="28"/>
          <w:lang w:val="en-GB"/>
        </w:rPr>
        <w:t>在沙特境内设立的任何自然人或法人，已收到制造商的书面授权，代表制造商执行特定任务</w:t>
      </w:r>
      <w:r>
        <w:rPr>
          <w:rFonts w:hint="eastAsia" w:ascii="Times New Roman" w:hAnsi="Times New Roman"/>
          <w:sz w:val="28"/>
          <w:szCs w:val="28"/>
          <w:lang w:val="en-GB"/>
        </w:rPr>
        <w:t>”的法律实体</w:t>
      </w:r>
      <w:r>
        <w:rPr>
          <w:rFonts w:ascii="Times New Roman" w:hAnsi="Times New Roman"/>
          <w:sz w:val="28"/>
          <w:szCs w:val="28"/>
          <w:lang w:val="en-GB"/>
        </w:rPr>
        <w:t>。AR须通过GHAD电子系统取得SFDA颁发的授权代表许可证（ARL）。</w:t>
      </w:r>
    </w:p>
    <w:p w14:paraId="31A16106">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上市准入合规</w:t>
      </w:r>
    </w:p>
    <w:p w14:paraId="1713F59B">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沙特按照 GSO 统一标准将医疗器械分为 A 到 D 四级风险等级，所有医疗器械在沙特境内流通前必须取得SFDA颁发的医疗器械上市许可（MDMA）</w:t>
      </w:r>
      <w:r>
        <w:rPr>
          <w:rFonts w:hint="eastAsia" w:ascii="Times New Roman" w:hAnsi="Times New Roman"/>
          <w:sz w:val="28"/>
          <w:szCs w:val="28"/>
        </w:rPr>
        <w:t>。</w:t>
      </w:r>
      <w:r>
        <w:rPr>
          <w:rFonts w:ascii="Times New Roman" w:hAnsi="Times New Roman"/>
          <w:sz w:val="28"/>
          <w:szCs w:val="28"/>
        </w:rPr>
        <w:t>境外制造商不得直接向 SFDA 提交注册申请，必须指定沙特境内合法注册的实体作为授权代表</w:t>
      </w:r>
      <w:r>
        <w:rPr>
          <w:rFonts w:hint="eastAsia" w:ascii="Times New Roman" w:hAnsi="Times New Roman"/>
          <w:sz w:val="28"/>
          <w:szCs w:val="28"/>
        </w:rPr>
        <w:t>（AR）</w:t>
      </w:r>
      <w:r>
        <w:rPr>
          <w:rFonts w:ascii="Times New Roman" w:hAnsi="Times New Roman"/>
          <w:sz w:val="28"/>
          <w:szCs w:val="28"/>
        </w:rPr>
        <w:t>，由其作为法定持证主体提交申请并承担全生命周期合规责任。注册申请通过GHAD电子系统提交，须提交ISO 13485证书及符合GHTF/SG1指南的技术文档。2026 年 7 月起 SFDA 全面启用 GHAD 2.0 电子申报系统，旧系统注册证书需完成迁移，未迁移的证书将自动失效并影响产品清关。产品上市许可有效期为 5 年，标签强制使用阿拉伯语，可附加英文对照，需清晰标注注册证号、制造商与授权代表信息等核心内容。</w:t>
      </w:r>
    </w:p>
    <w:p w14:paraId="73C1E74A">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进口合规</w:t>
      </w:r>
    </w:p>
    <w:p w14:paraId="70D2F39F">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中国制造商无法自行向沙特海关申报医疗器械进口，必须通过持有沙特食品药品监督管理局（SFDA）颁发的医疗器械进口许可证（MDEL）的本地实体完成</w:t>
      </w:r>
      <w:r>
        <w:rPr>
          <w:rFonts w:hint="eastAsia" w:ascii="Times New Roman" w:hAnsi="Times New Roman"/>
          <w:sz w:val="28"/>
          <w:szCs w:val="28"/>
        </w:rPr>
        <w:t>，</w:t>
      </w:r>
      <w:r>
        <w:rPr>
          <w:rFonts w:ascii="Times New Roman" w:hAnsi="Times New Roman"/>
          <w:sz w:val="28"/>
          <w:szCs w:val="28"/>
        </w:rPr>
        <w:t>该许可证是从事医疗器械进口活动的法定前提。进口商须在货物抵达海关口岸前通过FASAH平台提交货物放行申请，获得SFDA的放行批准。</w:t>
      </w:r>
    </w:p>
    <w:p w14:paraId="0198562E">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口岸执法层面，SFDA 在沙特所有主要入境口岸均设有专门的口岸清关部门，配备专职查验人员，与海关共同完成医疗器械通关查验</w:t>
      </w:r>
      <w:r>
        <w:rPr>
          <w:rFonts w:hint="eastAsia" w:ascii="Times New Roman" w:hAnsi="Times New Roman"/>
          <w:sz w:val="28"/>
          <w:szCs w:val="28"/>
        </w:rPr>
        <w:t>。</w:t>
      </w:r>
      <w:r>
        <w:rPr>
          <w:rFonts w:ascii="Times New Roman" w:hAnsi="Times New Roman"/>
          <w:sz w:val="28"/>
          <w:szCs w:val="28"/>
        </w:rPr>
        <w:t>SFDA对医疗器械的进口实行双重许可制度：进口许可（Import Authorization）和装运放行许可（Shipment Release Approval），两者均须在货物抵达前取得。标准清关流程为：货物到港前，进口商通过 FASAH 系统提交进口申报，系统自动将产品信息、注册信息同步至 SFDA 监管端核验；核验通过后，SFDA 口岸人员按风险等级开展抽样或全面实物查验，核查标签、保质期、电气安全等项目；查验合格后海关完成税费征管与最终放行。</w:t>
      </w:r>
    </w:p>
    <w:p w14:paraId="6EF192A5">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对中国企业而言，需确保本地合作方具备完整的 SFDA 进口资质，提前适配 FASAH 系统申报流程，严格管控阿拉伯语标签与产品技术参数合规性，避免因查验不通过导致滞港。</w:t>
      </w:r>
    </w:p>
    <w:p w14:paraId="67D910C6">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上市后持续合规义务</w:t>
      </w:r>
    </w:p>
    <w:p w14:paraId="2DB115C2">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沙特医疗器械上市后持续合规的责任主体明确且多元。根据SFDA发布的FAQ文件，制造商、授权代表、进口商和分销商四类主体在知悉不良事件、事故或投诉发生后，均须向SFDA报告。报告时限实行风险分级：对公众健康构成严重威胁的事件须在2个日历日内报告；导致死亡或非预期严重伤害的事件须在10个日历日内报告；其他可报告事件须在30个日历日内报告。</w:t>
      </w:r>
    </w:p>
    <w:p w14:paraId="7725EDC8">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现场安全纠正措施（FSCA）的管理责任主要由AR承担。AR须在发布FSCA信函后2天内向国家医疗器械报告中心（NCMDR）报告。若SFDA发出安全警报或问询，制造商须在5天内通过NCMDR邮箱回应。</w:t>
      </w:r>
    </w:p>
    <w:p w14:paraId="0D655912">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rPr>
        <w:t>SFDA对经营场所实施系统性的质量管理体系审核。根据MDS-REQ 10，QMS审核适用于制造商、授权代表、进口商和分销商四类主体，审核类型包括初始访问、许可访问、例行/定期访问、跟进访问、反应性访问、医疗器械验证访问以及突击访问（Surprise Visit）。突击访问由SFDA在不事先通知的情况下进行，旨在验证经营场所对SFDA各项要求的合规情况。审核依据为沙特标准SFDA.MD/GSO ISO 13485:2017或其等效标准。SFDA在许可过程中有权对经营场所进行现场检查，并可豁免部分经营场所的检查。</w:t>
      </w:r>
    </w:p>
    <w:p w14:paraId="0416B28D">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经营合规</w:t>
      </w:r>
    </w:p>
    <w:p w14:paraId="3794DE9D">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经营主体资质方面，在沙特从事医疗器械进口、批发、分销的企业须取得SFDA颁发的医疗器械经营场所许可证。进口商和分销商是独立于AR的法定主体</w:t>
      </w:r>
      <w:r>
        <w:rPr>
          <w:rFonts w:hint="eastAsia" w:ascii="Times New Roman" w:hAnsi="Times New Roman"/>
          <w:sz w:val="28"/>
          <w:szCs w:val="28"/>
        </w:rPr>
        <w:t>，</w:t>
      </w:r>
      <w:r>
        <w:rPr>
          <w:rFonts w:ascii="Times New Roman" w:hAnsi="Times New Roman"/>
          <w:sz w:val="28"/>
          <w:szCs w:val="28"/>
        </w:rPr>
        <w:t>进口商和分销商须分别取得经营场所许可证，且须持有符合沙特标准SFDA.MD/GSO ISO 13485:2017的质量管理体系证书。进口商和分销商在发现不良事件、事故或投诉后，须向SFDA报告，报告时限与AR和制造商相同。这意味着沙特法律框架下，制造商、AR、进口商和分销商均对上市后警戒报告承担独立且并行的报告义务，而非仅由AR承担。未经SFDA注册的医疗器械不得分销。分销未取得MDMA的医疗器械，或使用过期MDMA的医疗器械，均构成违法行为。</w:t>
      </w:r>
    </w:p>
    <w:p w14:paraId="005B9457">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广告合规方面，医疗器械广告须事先获得SFDA批准后方可发布，申请可通过两种途径提交：作为MDMA申请的一部分随技术文档一并提交，或通过电子门户单独提交广告审批申请。</w:t>
      </w:r>
    </w:p>
    <w:p w14:paraId="42A6995F">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贸易政策等其他需关注的情况</w:t>
      </w:r>
    </w:p>
    <w:p w14:paraId="692A646B">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沙特通过海湾合作委员会（GCC）框架设有反倾销、反补贴和保障措施机制。GCC反倾销普通法规定若产品出口价格低于本国正常价格即构成倾销。低值医用耗材存在被纳入调查的潜在风险。政府采购占沙特医疗器械市场</w:t>
      </w:r>
      <w:r>
        <w:rPr>
          <w:rFonts w:hint="eastAsia" w:ascii="Times New Roman" w:hAnsi="Times New Roman"/>
          <w:sz w:val="28"/>
          <w:szCs w:val="28"/>
          <w:lang w:val="en-GB"/>
        </w:rPr>
        <w:t>重要比重，</w:t>
      </w:r>
      <w:r>
        <w:rPr>
          <w:rFonts w:ascii="Times New Roman" w:hAnsi="Times New Roman"/>
          <w:sz w:val="28"/>
          <w:szCs w:val="28"/>
          <w:lang w:val="en-GB"/>
        </w:rPr>
        <w:t>NUPCO是唯一可规模化进入公立医院渠道的采购平台</w:t>
      </w:r>
      <w:r>
        <w:rPr>
          <w:rFonts w:hint="eastAsia" w:ascii="Times New Roman" w:hAnsi="Times New Roman"/>
          <w:sz w:val="28"/>
          <w:szCs w:val="28"/>
          <w:lang w:val="en-GB"/>
        </w:rPr>
        <w:t>。</w:t>
      </w:r>
      <w:r>
        <w:rPr>
          <w:rFonts w:ascii="Times New Roman" w:hAnsi="Times New Roman"/>
          <w:sz w:val="28"/>
          <w:szCs w:val="28"/>
          <w:lang w:val="en-GB"/>
        </w:rPr>
        <w:t>2026年，NUPCO已开始在有本地替代品的情况下主动拒绝外国投标，该政策由本地内容和政府采购局（LCGPA）及沙特制造计划支持。沙特制造</w:t>
      </w:r>
      <w:r>
        <w:rPr>
          <w:rFonts w:hint="eastAsia" w:ascii="Times New Roman" w:hAnsi="Times New Roman"/>
          <w:sz w:val="28"/>
          <w:szCs w:val="28"/>
          <w:lang w:val="en-GB"/>
        </w:rPr>
        <w:t>计划</w:t>
      </w:r>
      <w:r>
        <w:rPr>
          <w:rFonts w:ascii="Times New Roman" w:hAnsi="Times New Roman"/>
          <w:sz w:val="28"/>
          <w:szCs w:val="28"/>
          <w:lang w:val="en-GB"/>
        </w:rPr>
        <w:t>要求政府采购招标中产品须达到40%的本地增值方可获得批准</w:t>
      </w:r>
      <w:r>
        <w:rPr>
          <w:rFonts w:hint="eastAsia" w:ascii="Times New Roman" w:hAnsi="Times New Roman"/>
          <w:sz w:val="28"/>
          <w:szCs w:val="28"/>
          <w:lang w:val="en-GB"/>
        </w:rPr>
        <w:t>。</w:t>
      </w:r>
    </w:p>
    <w:p w14:paraId="4D365BDD">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阿联酋</w:t>
      </w:r>
    </w:p>
    <w:p w14:paraId="0EF54230">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阿联酋医疗器械监管以 2024 年第 38 号联邦法令为顶层法律依据，2025 年 1 月正式生效，阿联酋药品管理局（EDE）</w:t>
      </w:r>
      <w:r>
        <w:rPr>
          <w:rFonts w:hint="eastAsia" w:ascii="Times New Roman" w:hAnsi="Times New Roman"/>
          <w:sz w:val="28"/>
          <w:szCs w:val="28"/>
          <w:lang w:val="en-GB"/>
        </w:rPr>
        <w:t>是</w:t>
      </w:r>
      <w:r>
        <w:rPr>
          <w:rFonts w:ascii="Times New Roman" w:hAnsi="Times New Roman"/>
          <w:sz w:val="28"/>
          <w:szCs w:val="28"/>
          <w:lang w:val="en-GB"/>
        </w:rPr>
        <w:t>联邦层面统一的医疗器械监管机构，负责产品注册、经营许可、警戒管理、进口许可与上市后执法，所有监管事项通过 EDE 数字门户统一办理。各酋长国卫生局仅负责属地医疗机构与经营场所的资质管理，不单独开展产品注册，联邦注册证书在阿联酋全境有效。迪拜医疗城等自由区可提供简化的经营资质与税收优惠，但产品进入本土市场仍需完成 EDE 联邦注册。</w:t>
      </w:r>
    </w:p>
    <w:p w14:paraId="3A76B823">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 xml:space="preserve">在责任主体划分上，阿联酋法律框架的核心概念是上市许可持有人（MAH） </w:t>
      </w:r>
      <w:r>
        <w:rPr>
          <w:rFonts w:hint="eastAsia" w:ascii="Times New Roman" w:hAnsi="Times New Roman"/>
          <w:sz w:val="28"/>
          <w:szCs w:val="28"/>
          <w:lang w:val="en-GB"/>
        </w:rPr>
        <w:t>，其定义为“</w:t>
      </w:r>
      <w:r>
        <w:rPr>
          <w:rFonts w:ascii="Times New Roman" w:hAnsi="Times New Roman"/>
          <w:sz w:val="28"/>
          <w:szCs w:val="28"/>
          <w:lang w:val="en-GB"/>
        </w:rPr>
        <w:t>在阿联酋境内获得许可的法人实体，负责将特定医疗产品投放市场</w:t>
      </w:r>
      <w:r>
        <w:rPr>
          <w:rFonts w:hint="eastAsia" w:ascii="Times New Roman" w:hAnsi="Times New Roman"/>
          <w:sz w:val="28"/>
          <w:szCs w:val="28"/>
          <w:lang w:val="en-GB"/>
        </w:rPr>
        <w:t>”</w:t>
      </w:r>
      <w:r>
        <w:rPr>
          <w:rFonts w:ascii="Times New Roman" w:hAnsi="Times New Roman"/>
          <w:sz w:val="28"/>
          <w:szCs w:val="28"/>
          <w:lang w:val="en-GB"/>
        </w:rPr>
        <w:t>。</w:t>
      </w:r>
      <w:r>
        <w:rPr>
          <w:rFonts w:hint="eastAsia"/>
        </w:rPr>
        <w:t xml:space="preserve"> </w:t>
      </w:r>
      <w:r>
        <w:rPr>
          <w:rFonts w:ascii="Times New Roman" w:hAnsi="Times New Roman"/>
          <w:sz w:val="28"/>
          <w:szCs w:val="28"/>
          <w:lang w:val="en-GB"/>
        </w:rPr>
        <w:t>制造商是产品的设计、生产和质量责任主体；MAH（通常是阿联酋许可的医疗仓库或营销办公室）是产品在阿联酋境内的法定持证主体，负责与EDE的沟通、上市后监测和召回管理；授权代表（AR）/本地许可持有人（LLH） 是MAH的另一种存在形式，须持有有效的经营场所许可证；进口商需取得 EDE 颁发的进口类机构许可证，仅可在授权范围内进口对应已注册产品，承担进口环节的合规责任；分销商需取得对应类别的经营许可，负责下游流通环节的质量管控与信息传递。值得注意的是，2026 年 2 月 EDE 依据联邦法令出台反垄断政策，要求每个医疗器械产品在阿联酋境内必须指定多个代理商，打破了此前的单一分销商垄断模式，境外制造商可根据业务需求授权多个合规主体开展分销业务。</w:t>
      </w:r>
    </w:p>
    <w:p w14:paraId="03527F49">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上市准入合规</w:t>
      </w:r>
    </w:p>
    <w:p w14:paraId="0EE9BA43">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阿联酋采用 GSO 统一的四级风险分类体系，境外制造商必须指定阿联酋境内合法注册的实体作为本地授权代表，由其作为法定持证主体提交注册申请并承担全生命周期合规责任。注册路径分为备案与全面注册两类，低风险产品走简化备案路径，中高风险产品需提交完整技术文档，已获得欧盟 CE、美国 FDA 等主流监管机构批准的产品可申请快速通道</w:t>
      </w:r>
      <w:r>
        <w:rPr>
          <w:rFonts w:hint="eastAsia" w:ascii="Times New Roman" w:hAnsi="Times New Roman"/>
          <w:sz w:val="28"/>
          <w:szCs w:val="28"/>
        </w:rPr>
        <w:t>，</w:t>
      </w:r>
      <w:r>
        <w:rPr>
          <w:rFonts w:ascii="Times New Roman" w:hAnsi="Times New Roman"/>
          <w:sz w:val="28"/>
          <w:szCs w:val="28"/>
        </w:rPr>
        <w:t>审评周期可缩短，但仍需完成阿联酋联邦注册程序，不存在境外证书直接生效的机制。产品注册证书有效期为 5 年，标签与说明书强制使用阿拉伯语与英语双语，需清晰标注产品名称、规格型号、注册证号、制造商名称地址、阿联酋授权代表名称地址、生产日期、有效期、警示信息等核心内容，标签信息需与注册文件完全一致。迪拜医疗城（DHCC）等医疗自由区内的企业可享受简化的经营资质与税收优惠，但产品进入阿联酋本土市场仍需完成 EDE 联邦注册。</w:t>
      </w:r>
    </w:p>
    <w:p w14:paraId="379B4C4C">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进口合规</w:t>
      </w:r>
    </w:p>
    <w:p w14:paraId="5BCAD3AD">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中国制造商无法自行向阿联酋海关申报医疗器械进口，必须通过经阿联酋药品管理局（EDE）许可的进口实体完成。2024年第38号联邦法令将进口商定义为经EDE许可向阿联酋进口医疗产品的法律实体。迪拜医疗城等自由区内的企业可适用简化的资质与清关政策，但仅可在区内运营或按规定向区外分销。</w:t>
      </w:r>
    </w:p>
    <w:p w14:paraId="33E67C3F">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口岸执法层面，阿联酋联邦海关负责常规关税征管，EDE 与各酋长国卫生局配合开展医疗器械口岸监管</w:t>
      </w:r>
      <w:r>
        <w:rPr>
          <w:rFonts w:hint="eastAsia" w:ascii="Times New Roman" w:hAnsi="Times New Roman"/>
          <w:sz w:val="28"/>
          <w:szCs w:val="28"/>
        </w:rPr>
        <w:t>。</w:t>
      </w:r>
      <w:r>
        <w:rPr>
          <w:rFonts w:ascii="Times New Roman" w:hAnsi="Times New Roman"/>
          <w:sz w:val="28"/>
          <w:szCs w:val="28"/>
        </w:rPr>
        <w:t>进口货物须接受EDE检查员在海关口岸进行的检查，并完成以放行货物进入本地市场分销为目的的检查。</w:t>
      </w:r>
    </w:p>
    <w:p w14:paraId="0F278C69">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上市后持续合规义务</w:t>
      </w:r>
    </w:p>
    <w:p w14:paraId="2DD49BEC">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阿联酋上市后监管的核心规则依据为 2024 年第 38 号联邦法令及 EDE 发布的《药物警戒与上市后监督管理指南》，由 EDE 的药物警戒部门统一负责联邦层面的上市后监管，各酋长国卫生局配合开展属地日常监督与市场稽查。本地授权代表（AR）是上市后合规的第一责任主体，向 EDE 直接负责，境外制造商承担最终责任，进口商、分销商需配合 AR 完成不良事件收集、产品追溯、召回执行等落地工作。</w:t>
      </w:r>
    </w:p>
    <w:p w14:paraId="7B425595">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MAH须建立并维护一个收集和记录所有疑似不良反应报告的系统，无论这些报告是来自医疗专业人员的自发报告、消费者的报告，还是在上市后研究中观察到的。MAH须建立能够实现不良反应报告可追溯性和跟进机制，同时遵守适用的数据保护法规。药物警戒数据和文件须在产品保持授权期间持续保存，并在上市许可到期后至少保存十年。EDE要求高风险医疗器械提交每两年一次的定期安全更新报告（PSUR）。EDE可发布医疗器械现场安全警报，此时制造商须向用户提供现场安全通知，载明现场安全纠正措施（FSCA）的详细信息。</w:t>
      </w:r>
    </w:p>
    <w:p w14:paraId="481EF9F8">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经营合规</w:t>
      </w:r>
    </w:p>
    <w:p w14:paraId="4010EE0A">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经营主体资质方面，根据 2024 年第 38 号联邦法令及 EDE 的《机构许可管理规则》，所有在阿联酋境内从事医疗器械进口、批发、分销、零售、安装维修等经营活动的机构，必须取得 EDE 颁发的医疗器械机构许可证（Establishment License），许可证按业务类型分类核定，有效期 5 年，经营范围需严格对应产品风险等级，禁止超范围经营。境外制造商不得直接向阿联酋境内的医疗机构、零售药店或个人患者销售医疗器械，必须通过授权的本地持证分销商完成全渠道销售；需专业医师指导使用的中高风险医疗器械，不得直接销售给普通消费者，只能销售给具备资质的医疗机构或专业机构。</w:t>
      </w:r>
    </w:p>
    <w:p w14:paraId="250ED19F">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2026年代理商多元化政策是阿联酋医疗器械分销格局的重大变化。EDE于2026年2月引入新规，要求每个制造商为在阿联酋销售的每个医疗产品指定多于一个授权代理商，彻底终止了此前定义市场多年的单一分销商独家安排。这一政策为中国制造商提供了更灵活的分销策略空间，意味着不再需要将全部渠道依赖于一家本地经销商，可以通过多个授权代理商构建多元化的分销体系。</w:t>
      </w:r>
    </w:p>
    <w:p w14:paraId="76B20EA1">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广告合规方面，所有医疗器械广告发布前必须取得 EDE 的审批许可，获得官方批准文号后方可投放，包括网站、社交媒体等线上渠道的推广材料同样需履行审批程序。广告审批的条件之一是产品须持有EDE签发的有效上市许可。广告内容须与已批准的适应症和风险披露保持一致。EDE是联邦层面的唯一广告审批机构，但迪拜卫生局（DHA）和阿布扎比卫生部（DOH）在各自酋长国范围内保留地方性广告监管权限。</w:t>
      </w:r>
    </w:p>
    <w:p w14:paraId="7B32EE69">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阿联酋《联邦反贿赂法》将医疗采购列为高风险领域，严禁在注册、招投标环节提供不当利益，企业需建立内部合规体系，违规将面临罚款与市场禁入。阿联酋《联邦数据保护法》确实对健康数据跨境传输施加了合规要求</w:t>
      </w:r>
      <w:r>
        <w:rPr>
          <w:rFonts w:hint="eastAsia" w:ascii="Times New Roman" w:hAnsi="Times New Roman"/>
          <w:sz w:val="28"/>
          <w:szCs w:val="28"/>
        </w:rPr>
        <w:t>。</w:t>
      </w:r>
    </w:p>
    <w:p w14:paraId="0842788C">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贸易政策等其他需关注的情况</w:t>
      </w:r>
    </w:p>
    <w:p w14:paraId="15A12CD0">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阿联酋目前无针对中国医疗器械的反倾销或反补贴调查记录。阿联酋整体贸易政策相对开放。阿联酋通过阿联酋制造计划将医疗器械列为优先工业部门，但与沙特不同，阿联酋的本地化要求在医疗器械领域的强制性较低，更强调通过自由区提供激励。海湾地区联合采购机制正在崛起，阿联酋参与其中，这可能改变区域采购格局，对供应商的规模和合规能力提出更高要求。阿联酋医疗市场定位高端，政府采购优先选择品牌知名度高、本地服务体系完善的产品，鼓励境外企业设立区域总部与服务中心。</w:t>
      </w:r>
    </w:p>
    <w:p w14:paraId="396F13DD">
      <w:pPr>
        <w:pStyle w:val="2"/>
        <w:keepNext/>
        <w:keepLines/>
        <w:numPr>
          <w:ilvl w:val="0"/>
          <w:numId w:val="6"/>
        </w:numPr>
        <w:spacing w:before="120" w:beforeLines="50" w:after="120" w:afterLines="50" w:line="360" w:lineRule="auto"/>
        <w:jc w:val="center"/>
        <w:outlineLvl w:val="1"/>
        <w:rPr>
          <w:rFonts w:ascii="Times New Roman" w:hAnsi="Times New Roman"/>
          <w:b/>
          <w:bCs/>
          <w:color w:val="auto"/>
          <w:sz w:val="28"/>
          <w:szCs w:val="28"/>
          <w:lang w:val="en-GB"/>
        </w:rPr>
      </w:pPr>
      <w:r>
        <w:rPr>
          <w:rFonts w:hint="eastAsia" w:ascii="Times New Roman" w:hAnsi="Times New Roman"/>
          <w:b/>
          <w:bCs/>
          <w:color w:val="auto"/>
          <w:sz w:val="28"/>
          <w:szCs w:val="28"/>
          <w:lang w:val="en-GB"/>
        </w:rPr>
        <w:t xml:space="preserve"> </w:t>
      </w:r>
      <w:bookmarkStart w:id="40" w:name="_Toc395127657"/>
      <w:r>
        <w:rPr>
          <w:rFonts w:hint="eastAsia" w:ascii="Times New Roman" w:hAnsi="Times New Roman"/>
          <w:b/>
          <w:bCs/>
          <w:color w:val="auto"/>
          <w:sz w:val="28"/>
          <w:szCs w:val="28"/>
          <w:lang w:val="en-GB"/>
        </w:rPr>
        <w:t>资本出海</w:t>
      </w:r>
      <w:bookmarkEnd w:id="40"/>
    </w:p>
    <w:p w14:paraId="7559D24F">
      <w:pPr>
        <w:pStyle w:val="26"/>
        <w:numPr>
          <w:ilvl w:val="1"/>
          <w:numId w:val="6"/>
        </w:numPr>
        <w:spacing w:before="120" w:beforeLines="50" w:after="120" w:afterLines="50" w:line="360" w:lineRule="auto"/>
        <w:jc w:val="center"/>
        <w:outlineLvl w:val="2"/>
        <w:rPr>
          <w:rFonts w:ascii="Times New Roman" w:hAnsi="Times New Roman"/>
          <w:b/>
          <w:bCs/>
          <w:sz w:val="28"/>
          <w:szCs w:val="28"/>
          <w:lang w:val="en-GB"/>
        </w:rPr>
      </w:pPr>
      <w:r>
        <w:rPr>
          <w:rFonts w:hint="eastAsia" w:ascii="Times New Roman" w:hAnsi="Times New Roman"/>
          <w:b/>
          <w:bCs/>
          <w:sz w:val="28"/>
          <w:szCs w:val="28"/>
          <w:lang w:val="en-GB"/>
        </w:rPr>
        <w:t xml:space="preserve"> </w:t>
      </w:r>
      <w:bookmarkStart w:id="41" w:name="_Toc1942475072"/>
      <w:r>
        <w:rPr>
          <w:rFonts w:hint="eastAsia" w:ascii="Times New Roman" w:hAnsi="Times New Roman"/>
          <w:b/>
          <w:bCs/>
          <w:sz w:val="28"/>
          <w:szCs w:val="28"/>
          <w:lang w:val="en-GB"/>
        </w:rPr>
        <w:t>总则</w:t>
      </w:r>
      <w:bookmarkEnd w:id="41"/>
    </w:p>
    <w:p w14:paraId="11E6166A">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中国境外投资监管体系</w:t>
      </w:r>
    </w:p>
    <w:p w14:paraId="2D56F882">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我国对外投资管理已形成以行政法规为核心、多部门协同监管、分类分级施策的完整制度体系，其核心立法依据是 2026 年 7 月 1 日正式施行的《国务院关于对外投资的规定》（国务院令第 837 号），这也是我国首部专门针对对外投资制定的行政法规。在此基础上配套国家发展改革委、商务部、国家外汇管理局等部门的规章与规范性文件，共同构建了覆盖项目准入、企业设立、资金汇兑、事中事后监管全流程的管理架构。</w:t>
      </w:r>
    </w:p>
    <w:p w14:paraId="15497A42">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从监管分工来看，国家发展改革部门主要负责境外投资项目的核准与备案管理，对敏感国家和地区、敏感行业的投资项目履行核准程序，其他项目实行备案管理，同时牵头开展境外投资安全审查工作，从源头防控国家安全风险。商务主管部门侧重境外设立企业的备案与核准，对符合条件的企业核发《企业境外投资证书》，同时统筹对外投资促进与服务、投资壁垒调查、境外经营合规指导等工作，商务部定期发布的《对外投资合作国别（地区）指南》，是企业了解东道国投资环境、政策法规与风险提示的权威公共服务产品。外汇管理部门则承担境外投资外汇登记、资金汇出汇入、利润汇回、增资减资等全流程外汇业务管理职责，监督跨境资金流动的真实性与合规性。</w:t>
      </w:r>
    </w:p>
    <w:p w14:paraId="29AC3156">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在分类分级管理逻辑下，根据837号令第11条的授权，并由国务院投资主管部门、商务主管部门会同有关部门具体制定和实施对外投资政策，国家将对外投资划分为鼓励类、限制类与禁止类三类实施差异化监管。鼓励类投资聚焦科技创新、绿色低碳、产业链供应链互补、“一带一路”建设等符合国家发展战略的领域，国家在政策支持、资金便利、服务保障等方面给予正向引导。限制类投资需严格履行核准程序，其具体范围主要依据《关于进一步引导和规范境外投资方向的指导意见》及《境外投资敏感行业目录》等规定确定，涵盖赴未与中国建交国家、发生战争或内乱国家、受国际制裁地区等敏感区域的投资，以及房地产、酒店、影城、娱乐业、体育俱乐部等限制性行业，无实体项目支撑的境外股权投资基金或投资平台，以及使用落后生产设备、不符合东道国环保能耗安全标准的投资等。其他依据国家有关规定需重点管控的领域，也属于限制类投资的管理范围。 禁止类投资则明确划出红线，包括危害国家主权安全和发展利益的投资、涉及未经批准的军事工业核心技术与产品输出的投资、运用中国禁止出口的技术工艺产品开展的投资、违反公序良俗和法律的赌博色情类投资，以及中国缔结或参加的国际条约禁止的投资。</w:t>
      </w:r>
    </w:p>
    <w:p w14:paraId="139595AC">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除准入管理外，我国还建立了全链条的配套监管制度。境外投资安全审查制度针对涉及关键技术、敏感行业、战略资源、数据安全等可能影响国家安全的境外投资及相关资产、权益的转让或处分实施专门审查，该审查独立于核准备案程序，不以相关投资已履行核准备案手续为前提。对拒不配合审查或不执行审查决定的企业，可禁止其在1年以上3年以下的期限内从事对外投资活动，并可在3年内不受理其提出的核准备案申请。同时明确禁止企业通过拆分项目、化整为零、分批次小额投资等方式规避核准、备案和安全审查，要求企业按规定报送境外投资运营信息，配合主管部门监督检查，并严格遵守国家出口管制规定，限制出口的技术、货物与服务需事先取得相应许可。</w:t>
      </w:r>
    </w:p>
    <w:p w14:paraId="42F6A1C5">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境外投资核准备案制度</w:t>
      </w:r>
    </w:p>
    <w:p w14:paraId="013EC3E0">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我国境外投资核准备案实行双轨并行的管理架构，由发展改革部门和商务主管部门分别依据各自规章实施管理。发展改革部门负责境外投资项目的核准与备案，商务部门负责境外设立企业的核准与备案，企业开展实质性境外投资需同步完成两项手续，方可办理后续外汇登记与资金汇出。</w:t>
      </w:r>
    </w:p>
    <w:p w14:paraId="25DD2E50">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发展改革部门核准备案。依据国家发展改革委《企业境外投资管理办法》（国家发展和改革委员会令第 11 号，2018 年 3 月 1 日起施行），实行核准管理的范围是投资主体直接或通过其控制的境外企业开展的敏感类项目，核准机关为国家发展改革委。敏感类项目涵盖涉及敏感国家和地区的项目，以及涉及敏感行业的项目两类。其中敏感国家和地区包括与我国未建交的国家和地区、发生战争或内乱的国家和地区、根据我国缔结或参加的国际条约协定等需要限制企业对其投资的国家和地区，以及其他经认定的敏感国家和地区。敏感行业依据《境外投资敏感行业目录（2018 年版）》确定，该目录由国家发展改革委、商务部、人民银行、国家外汇管理局四部门联合发布，是落实《国务院办公厅转发国家发展改革委商务部人民银行外交部关于进一步引导和规范境外投资方向指导意见的通知》（国办发〔2017〕74 号）的配套规范性文件，具体包括武器装备的研制生产维修、跨境水资源开发利用、新闻传媒三大类，以及国办发〔2017〕74 号文件明确要求限制境外投资的行业，即房地产、酒店、影城、娱乐业、体育俱乐部，以及在境外设立无具体实业项目的股权投资基金或投资平台。</w:t>
      </w:r>
    </w:p>
    <w:p w14:paraId="75F24121">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实行备案管理的范围是投资主体直接开展的非敏感类项目。备案权限按中方投资额口径划分：中央管理企业的境外投资项目，以及地方企业中方投资额 3 亿美元及以上的项目，由国家发展改革委负责备案；地方企业中方投资额 3 亿美元以下的项目，由省级政府投资主管部门负责备案。投资主体可通过全国一体化在线政务服务平台、国家发改委境外投资项目备案系统在线提交申报材料，具体包括项目备案申报文件、备案表、追溯至最终实际控制人的投资主体股权架构图、最新经审计的财务报表、投资决策文件、具有法律约束效力的投资协议或类似文件、证明投资资金来源真实合规的支持性文件、境外投资真实性承诺书等。</w:t>
      </w:r>
    </w:p>
    <w:p w14:paraId="71F3BEC6">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需要注意的是，发改委第 11 号令以 “项目” 作为核心监管单元。2026 年 8 月，国家发展改革委发布《企业境外投资管理办法（修订征求意见稿）》，拟衔接落实《国务院关于对外投资的规定》（国务院令第 837 号）的制度要求，将监管重心从单个项目的核准、备案批复，转向覆盖各类资源投入、运营、合规直至退出的分类分级全过程监管，拟构建 “敏感类核准 — 直接开展的非敏感类备案 — 通过控制的境外企业再投资报告” 的三层监管结构，目前该修订草案尚未正式发布施行。</w:t>
      </w:r>
    </w:p>
    <w:p w14:paraId="3A3052F2">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商务主管部门核准备案。 依据商务部《境外投资管理办法》（商务部令 2014 年第 3 号），商务部与省级商务主管部门按照企业境外投资的不同情形，分别实行核准与备案管理。企业境外投资涉及敏感国家和地区、敏感行业的，实行核准管理；其他情形的境外投资，实行备案管理。其中核准权限统一由商务部行使，省级商务主管部门仅承担非敏感类项目的备案管理职责，不具备核准权限。实行核准管理的敏感国家和地区，包括与中华人民共和国未建交的国家和地区、受联合国制裁的国家和地区；实行核准管理的敏感行业，是指涉及出口中华人民共和国限制出口的产品和技术的行业、影响一国（地区）以上利益的行业。对于属于备案情形的境外投资，中央企业报商务部办理备案，地方企业报所在地省级商务主管部门办理备案；备案通过后向企业颁发《企业境外投资证书》，该证书是企业境外投资获得备案或核准的法定凭证，有效期为 2 年。</w:t>
      </w:r>
    </w:p>
    <w:p w14:paraId="3CA12CB2">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在实务操作中，发展改革部门的项目备案与商务部门的企业设立备案为平行办理关系，无法定先后顺序要求，但外汇登记手续必须在取得发改委备案通知书和商务部《企业境外投资证书》之后方可办理。企业可通过各部门对应的线上系统同步提交申报材料，非敏感类备案项目的整体办理周期通常为 1 至 2 个月；敏感类核准项目需履行咨询评估、多部门征求意见等程序，办理周期相对更长，具体以实际审查进度为准。</w:t>
      </w:r>
    </w:p>
    <w:p w14:paraId="0B1DD608">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信息报告与事中监管方面，根据《国务院关于对外投资的规定》（国务院令第 837 号）第十二条的总括性要求，投资者应当依法履行信息报告义务，如实提交相关材料并配合主管部门的监督检查。在此基础上，企业还需遵守各部门的专项监管要求：境外企业完成注册登记后 30 日内，需向中国驻当地使领馆经商处报到登记；按照商务、统计部门的规定报送对外直接投资统计报表；按照外汇管理相关规定，每年按期报送年度境外直接投资存量权益数据。</w:t>
      </w:r>
    </w:p>
    <w:p w14:paraId="0AA8E46D">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境外直接投资（ODI）外汇管理</w:t>
      </w:r>
    </w:p>
    <w:p w14:paraId="67F0D796">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境外直接投资外汇管理是资本出海资金合规出境的最后一道关口。当前外汇管理以《境内机构境外直接投资外汇管理规定》（汇发〔2009〕30号）为基础性规范，国家外汇管理局根据资本项目外汇业务规则对境内机构境外直接投资外汇登记、资金汇出及后续变更、存量权益登记等事项实施管理。</w:t>
      </w:r>
    </w:p>
    <w:p w14:paraId="20B69F5C">
      <w:pPr>
        <w:pStyle w:val="26"/>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外汇登记基本流程。 企业在完成发改委备案/核准和商务部门备案/核准后，凭前两者的批准文件（《境外投资项目备案通知书》或核准文件、《企业境外投资证书》）向具备资本项目业务资质的银行办理境外直接投资外汇登记。银行审核通过后发放《境外直接投资外汇登记证》或业务登记凭证，企业凭此办理账户开立、资金购付汇及汇出等业务。国家外汇管理局《关于深化跨境投融资外汇管理改革有关事宜的通知》（2026年）进一步推进了外汇管理便利化改革，取消了境内直接投资前期费用基本信息登记等环节，境外投资者在境内设立外商投资企业前需要汇入前期费用的，可以直接在银行开立前期费用账户并汇入资金，无需在开户前办理前期费用基本信息登记。</w:t>
      </w:r>
    </w:p>
    <w:p w14:paraId="0563FCBE">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资金汇出与付款计划。 根据现行规定，境内非金融类机构境外直接投资单笔金额超过300万美元、累计投资超过1000万美元的，必须在完成ODI备案后提交正式ODI付款计划，经监管审核通过后方可办理购付汇手续。投资主体在办理外汇登记后，即可办理相关账户的开立和资金汇兑业务。外汇管理部门持续监测跨境资金流动的真实性与合规性，强调“真实性审核”原则。</w:t>
      </w:r>
    </w:p>
    <w:p w14:paraId="6246BEF3">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变更登记与存量权益登记。 境外投资过程中发生增资、减资、股权转让、投资主体变更等事项的，企业应办理外汇变更登记。在境外投资存续期间，境外投资企业的境内投资主体应于每年1月1日至6月30日期间，通过资本项目信息系统企业端或银行端向外汇局报送上一年度境外企业存量权益相关信息，即ODI存量权益登记（年度报告），填报境外投资企业基本信息情况表和境外直接投资中方权益统计表。存量权益登记是境外投资存续期间持续性合规义务，未按规定办理的可能影响后续外汇业务办理。</w:t>
      </w:r>
    </w:p>
    <w:p w14:paraId="0C4FE59E">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rPr>
        <w:t>境外投资安全审查与最新政策导向</w:t>
      </w:r>
    </w:p>
    <w:p w14:paraId="4DC68A0C">
      <w:pPr>
        <w:pStyle w:val="26"/>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境外投资安全审查制度是837号令确立的一项制度创新，填补了此前部门规章层面的制度空白，标志着跨境投资监管正式形成</w:t>
      </w:r>
      <w:r>
        <w:rPr>
          <w:rFonts w:hint="eastAsia" w:ascii="Times New Roman" w:hAnsi="Times New Roman"/>
          <w:sz w:val="28"/>
          <w:szCs w:val="28"/>
        </w:rPr>
        <w:t>“</w:t>
      </w:r>
      <w:r>
        <w:rPr>
          <w:rFonts w:ascii="Times New Roman" w:hAnsi="Times New Roman"/>
          <w:sz w:val="28"/>
          <w:szCs w:val="28"/>
        </w:rPr>
        <w:t>外资准入安全审查+对外投资安全审查</w:t>
      </w:r>
      <w:r>
        <w:rPr>
          <w:rFonts w:hint="eastAsia" w:ascii="Times New Roman" w:hAnsi="Times New Roman"/>
          <w:sz w:val="28"/>
          <w:szCs w:val="28"/>
        </w:rPr>
        <w:t>”</w:t>
      </w:r>
      <w:r>
        <w:rPr>
          <w:rFonts w:ascii="Times New Roman" w:hAnsi="Times New Roman"/>
          <w:sz w:val="28"/>
          <w:szCs w:val="28"/>
        </w:rPr>
        <w:t>的双向闭环新格局。</w:t>
      </w:r>
    </w:p>
    <w:p w14:paraId="523A01FB">
      <w:pPr>
        <w:pStyle w:val="26"/>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审查对象与范围。根据837号令第十五条，境外投资安全审查制度的审查对象为</w:t>
      </w:r>
      <w:r>
        <w:rPr>
          <w:rFonts w:hint="eastAsia" w:ascii="Times New Roman" w:hAnsi="Times New Roman"/>
          <w:sz w:val="28"/>
          <w:szCs w:val="28"/>
        </w:rPr>
        <w:t>“</w:t>
      </w:r>
      <w:r>
        <w:rPr>
          <w:rFonts w:ascii="Times New Roman" w:hAnsi="Times New Roman"/>
          <w:sz w:val="28"/>
          <w:szCs w:val="28"/>
        </w:rPr>
        <w:t>影响或者可能影响国家安全的境外投资及相关资产、权益等的转让、处分</w:t>
      </w:r>
      <w:r>
        <w:rPr>
          <w:rFonts w:hint="eastAsia" w:ascii="Times New Roman" w:hAnsi="Times New Roman"/>
          <w:sz w:val="28"/>
          <w:szCs w:val="28"/>
        </w:rPr>
        <w:t>”</w:t>
      </w:r>
      <w:r>
        <w:rPr>
          <w:rFonts w:ascii="Times New Roman" w:hAnsi="Times New Roman"/>
          <w:sz w:val="28"/>
          <w:szCs w:val="28"/>
        </w:rPr>
        <w:t>。</w:t>
      </w:r>
      <w:r>
        <w:rPr>
          <w:rFonts w:hint="eastAsia"/>
        </w:rPr>
        <w:t xml:space="preserve"> </w:t>
      </w:r>
      <w:r>
        <w:rPr>
          <w:rFonts w:ascii="Times New Roman" w:hAnsi="Times New Roman"/>
          <w:sz w:val="28"/>
          <w:szCs w:val="28"/>
        </w:rPr>
        <w:t>安全审查的启动主要有两种路径</w:t>
      </w:r>
      <w:r>
        <w:rPr>
          <w:rFonts w:hint="eastAsia" w:ascii="Times New Roman" w:hAnsi="Times New Roman"/>
          <w:sz w:val="28"/>
          <w:szCs w:val="28"/>
        </w:rPr>
        <w:t>，</w:t>
      </w:r>
      <w:r>
        <w:rPr>
          <w:rFonts w:ascii="Times New Roman" w:hAnsi="Times New Roman"/>
          <w:sz w:val="28"/>
          <w:szCs w:val="28"/>
        </w:rPr>
        <w:t>一是依申请启动，企业主动申报涉及敏感领域的境外投资项目；二是依职权主动启动，监管机关在备案、核查、事后巡检过程中发现潜在安全风险，可主动发起审查，不受项目是否完成备案或交割的约束。参与部门方面，由国务院投资主管部门（国家发展改革委）和商务主管部门共同牵头，会同国务院其他有关部门开展联合审查，国家发展改革委利用外资和境外投资司作为常设经办部门。结合外商投资安全审查的实践经验和境外投资的特殊性，审查机构可能从以下维度评估一项境外投资是否影响或可能影响国家安全：投资输出物的本身特性（是否涉及半导体、人工智能、量子计算等关键领域，是否涉及核心知识产权或专有技术，是否属于出口管制清单范围）；投资输出物在境外的应用场景（是否可能被用于东道国军事、国防、情报等领域，是否存在技术被二次转移的风险）；投资目的地东道国的性质（是否属于受中国制裁国家或地区，东道国对外国投资的监管政策是否透明，是否存在强制技术转让要求）；投资过程中是否涉及敏感数据出境（尽调和管理过程中是否涉及重要数据或个人信息向境外传输）。</w:t>
      </w:r>
    </w:p>
    <w:p w14:paraId="630071EB">
      <w:pPr>
        <w:pStyle w:val="26"/>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根据837号令的规定，对拒不配合审查或不执行审查决定的企业，可禁止其在1年以上3年以下的期限内从事对外投资活动，并可在3年内不受理其提出的核准备案申请。企业应在投资决策前立项阶段进行安全审查预评估，判断投资项目是否可能影响国家安全，主动识别敏感因素。建议准备安全审查风险评估报告、申报材料模板（申请书、承诺函、情况说明）等合规文件。对于拟转让或处分境外资产、权益的，同样应重新进行安全审查评估，必要时履行申报义务。建议企业在项目实施前主动与主管部门进行预沟通，对于存在较高安全审查风险的项目，在投资架构设计阶段预留应对空间。</w:t>
      </w:r>
    </w:p>
    <w:p w14:paraId="393C25E4">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从最新政策导向来看，我国境外投资管理呈现出如下趋势。第一，鼓励类投资支持力度持续升级，政策精准导向实体经济与战略领域。第二，安全管控维度持续细化，制度协同性不断增强。第三，企业合规主体责任全面强化，全生命周期合规要求升级。商务部修订发布的《企业境外经营合规管理指引》进一步细化了合规管理标准，要求企业建立覆盖投资决策、项目建设、运营管理、退出清算全流程的合规管理体系，重点加强国家安全、出口管制、数据安全、反商业贿赂、环境保护、劳动用工等领域的合规建设，配备专职合规人员，定期开展风险评估与合规审计。同时，政府部门持续完善合规公共服务，动态更新国别投资指南与风险提示，帮助企业识别东道国监管要求。第四，非理性投资管控持续深化，引导投资回归本源。监管层面继续对房地产、酒店、娱乐、体育俱乐部等领域的非理性对外投资保持限制态势，严厉打击假借对外投资名义转移资产、虚假投资等违法违规行为，推动境外投资聚焦实体经济，服务国内产业升级与国家发展战略。</w:t>
      </w:r>
    </w:p>
    <w:p w14:paraId="7028A4D4">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资本出海常见形式</w:t>
      </w:r>
    </w:p>
    <w:p w14:paraId="62484F53">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绿地投资</w:t>
      </w:r>
    </w:p>
    <w:p w14:paraId="0B181C2A">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绿地投资是资本出海中最基础的实体投资模式，指境内投资者在东道国依照当地法律规定，从零开始新建生产经营实体，包括工厂、研发中心、销售网络、基础设施项目等，自主主导项目的选址、建设、团队组建与全流程运营。这种模式的核心优势在于投资者拥有完全的控制权和战略自主权，能够按照自身标准输出技术、品牌与管理体系，且由于是新增产能与市场主体，通常不易触发东道国反垄断审查，也较少引发当地舆论的抵触情绪，符合条件的项目还可享受东道国招商引资的税收、土地等优惠政策。但其短板也十分明显，前期资金投入规模大、项目建设周期长，需要从零搭建本地供应链、人才团队与市场渠道，面临的市场不确定性和运营风险相对更高。绿地投资更适合目标市场政策稳定、市场潜力较大，且企业自身具备较强资金实力、技术优势与运营管理能力，希望完全自主掌控海外业务布局的场景</w:t>
      </w:r>
      <w:r>
        <w:rPr>
          <w:rFonts w:hint="eastAsia" w:ascii="Times New Roman" w:hAnsi="Times New Roman"/>
          <w:sz w:val="28"/>
          <w:szCs w:val="28"/>
          <w:lang w:val="en-GB"/>
        </w:rPr>
        <w:t>。</w:t>
      </w:r>
    </w:p>
    <w:p w14:paraId="36FD3826">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跨境并购</w:t>
      </w:r>
    </w:p>
    <w:p w14:paraId="2B5FC8D2">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与绿地投资的新建路径不同，跨境并购是企业通过股权收购、资产收购或企业合并等方式，取得东道国现有企业的全部或部分所有权与控制权，从而快速切入当地市场的投资方式。借助并购，企业可以直接获取目标企业持有的核心技术、知名品牌、市场渠道、产能与客户资源，大幅缩短市场进入周期，还能规避部分贸易壁垒，实现产业链上下游整合与规模效应提升。但跨境并购也面临多重挑战，不仅标的估值难度大、财务风险高，并购完成后的企业文化、管理体系、团队与技术整合难度也普遍较大，同时交易全程需要面对东道国反垄断、国家安全、外资准入等多重监管审查，交易失败的风险显著高于绿地投资。这种模式更适合企业希望快速切入成熟市场、获取关键稀缺资源、实现产业整合扩张，且目标市场存在优质存量企业标的的场景。</w:t>
      </w:r>
    </w:p>
    <w:p w14:paraId="14A7F0EA">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合资经营</w:t>
      </w:r>
    </w:p>
    <w:p w14:paraId="09D20592">
      <w:pPr>
        <w:pStyle w:val="26"/>
        <w:spacing w:before="120" w:beforeLines="50" w:after="120" w:afterLines="50" w:line="360" w:lineRule="auto"/>
        <w:ind w:firstLine="560" w:firstLineChars="200"/>
        <w:jc w:val="both"/>
        <w:rPr>
          <w:rFonts w:ascii="Times New Roman" w:hAnsi="Times New Roman"/>
          <w:b/>
          <w:bCs/>
          <w:sz w:val="28"/>
          <w:szCs w:val="28"/>
          <w:lang w:val="en-GB"/>
        </w:rPr>
      </w:pPr>
      <w:r>
        <w:rPr>
          <w:rFonts w:ascii="Times New Roman" w:hAnsi="Times New Roman"/>
          <w:sz w:val="28"/>
          <w:szCs w:val="28"/>
          <w:lang w:val="en-GB"/>
        </w:rPr>
        <w:t>合资经营指境内投资者与一家或多家东道国本地合作伙伴共同出资设立合资企业，双方按照出资比例共享股权、共担风险、共同参与经营管理。对于出海企业而言，合资模式最大的价值在于能够借助本地合作伙伴的政府关系、市场渠道、本土运营经验与资源禀赋，降低外资准入的政策门槛与政治敏感度，同时分摊资金压力与投资风险。但相应地，合资企业的治理结构更为复杂，重大决策需要多方协商达成一致，决策效率相对较低，股东之间也容易出现战略分歧与利益冲突，企业的核心技术、商业机密还存在向合作方泄露的风险。合资经营是应对东道国外资持股限制、突破本地经营壁垒的常用方式，尤其适合企业缺乏本地运营经验、希望降低投资风险，或是东道国对外资有持股比例限制与本地合作强制要求的场景。</w:t>
      </w:r>
    </w:p>
    <w:p w14:paraId="592C6D3B">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目的国外商投资审查制度</w:t>
      </w:r>
    </w:p>
    <w:p w14:paraId="18675D4F">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国家安全审查</w:t>
      </w:r>
    </w:p>
    <w:p w14:paraId="555FAC12">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全球各经济体普遍基于本国产业安全、公共利益与市场秩序考量，对外商投资设置差异化的准入限制与监管要求，这些规则构成了资本出海首先需要面对的准入门槛。其中，国家安全审查是各国当前收紧外资监管的核心工具，绝大多数经济体都建立了专门的外资国安审查机制，对涉及国防军工、关键基础设施、核心技术、战略资源、敏感数据等领域的外商投资进行严格筛查，审查机构有权直接否决交易、要求投资者剥离相关资产，或是附加限制性条件批准交易。美国外国投资委员会（CFIUS）审查、欧盟外资审查框架下的成员国审查机制都是典型代表，审查覆盖范围集中在半导体、人工智能、电信、能源、交通运输、数据中心、矿产资源等敏感领域，且近年审查范围呈现持续扩大趋势。</w:t>
      </w:r>
    </w:p>
    <w:p w14:paraId="50735041">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行业准入限制与外资持股上限</w:t>
      </w:r>
    </w:p>
    <w:p w14:paraId="6B20329F">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行业准入限制是东道国外资监管的基础制度，各国大多通过 “负面清单” 或准入许可制度明确外资禁入与限入领域。禁止准入的行业普遍集中在军工、广播电视、新闻出版、邮政、博彩等直接涉及国家主权与公共利益的领域，限制准入领域则多为金融、电信、铁路、航空、公共事业、农业土地等关键行业，外资进入这些领域通常需要取得特别许可，或是满足特定的资质、业绩与技术要求。部分国家还会针对特定行业设置外资持股比例上限，要求本地资本控股或占最低比例，这类限制常见于电信、能源、传媒、矿业、银行等行业，例如部分国家规定外资持股不得超过 49%，还有部分国家通过本地成分法案，要求特定比例的股权由本国公民或特定群体持有，如南非《黑人经济振兴法案》就对企业的黑人持股比例、管理层构成等提出了强制要求。</w:t>
      </w:r>
    </w:p>
    <w:p w14:paraId="72DA9C0F">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反垄断与经营者集中审查</w:t>
      </w:r>
    </w:p>
    <w:p w14:paraId="4BE57137">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反垄断审查即经营者集中申报，是跨境并购必须面对的通用监管要求。各国反垄断法均规定，当并购交易达到规定的营业额、市场份额门槛时，必须向本国反垄断执法机构申报，未经审查通过不得实施交易。反垄断审查可能禁止交易，也可能附加剥离部分业务、开放市场、承诺公平竞争等限制性条件。由于大型跨境并购往往涉及多个市场的业务布局，企业通常需要在多个司法管辖区分别履行申报程序，接受不同机构的平行审查，这也大幅增加了交易的时间成本与合规复杂度。</w:t>
      </w:r>
    </w:p>
    <w:p w14:paraId="47A1F278">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境外运营合规要求</w:t>
      </w:r>
    </w:p>
    <w:p w14:paraId="703744D7">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在完成准入、进入运营阶段后，境外实体还需要遵守东道国全领域的合规运营要求</w:t>
      </w:r>
      <w:r>
        <w:rPr>
          <w:rFonts w:hint="eastAsia" w:ascii="Times New Roman" w:hAnsi="Times New Roman"/>
          <w:sz w:val="28"/>
          <w:szCs w:val="28"/>
          <w:lang w:val="en-GB"/>
        </w:rPr>
        <w:t>。</w:t>
      </w:r>
    </w:p>
    <w:p w14:paraId="64DD8FB9">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企业必须严格遵守东道国劳动法，在最低工资标准、工时休假、社会保险缴纳、工会权利、解雇保护、反就业歧视、外籍员工工作许可等方面全面符合当地规定，部分国家劳工标准远高于国内，工会话语权强，违规不仅可能面临高额罚款，还可能引发集体罢工甚至相关责任人的刑事责任。</w:t>
      </w:r>
    </w:p>
    <w:p w14:paraId="0E7E24BC">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环境保护合规同样是高风险领域，企业需要履行环境影响评价、排污许可、污染物达标排放、碳排放管控、危险废弃物规范处理、生态保护等法定义务，部分国家环保执法严格、处罚力度大，违规可能导致项目停产整改、高额罚金甚至项目终止。</w:t>
      </w:r>
    </w:p>
    <w:p w14:paraId="745449F6">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知识产权与数据安全是当前境外运营合规的重点领域。知识产权方面，企业需提前在东道国申请商标、专利、著作权等知识产权注册，取得当地法律的正式保护，同时尊重第三方知识产权，避免侵权风险，部分国家对知识产权侵权设置了惩罚性赔偿制度，违规成本极高，企业还需建立内部商业秘密与技术秘密保护机制，防止无形资产流失。数据安全与个人信息保护方面，各国普遍出台了专门的数据保护立法，对数据本地化存储、个人信息跨境传输、数据安全保障、用户知情同意等作出强制要求。除此之外，税务合规、反洗钱与反商业贿赂、进出口管制、当地公司治理规范等，也是境外运营需要持续遵守的通用合规要求。</w:t>
      </w:r>
    </w:p>
    <w:p w14:paraId="736F39D5">
      <w:pPr>
        <w:pStyle w:val="26"/>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五、争议解决</w:t>
      </w:r>
    </w:p>
    <w:p w14:paraId="74FA6078">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资本出海过程中遇到的争议因主体不同可分为多个层级，对应的解决路径各有差异。平等商事主体之间的合同纠纷、侵权纠纷，优先通过友好协商的方式解决，也可借助行业协会或专业第三方机构开展调解，这类方式成本低、周期短，且有利于维持后续商业合作关系，是绝大多数商事纠纷的首选处理路径。若协商调解无法达成一致，国际商事仲裁是跨境商事纠纷最主流的解决方式，企业可依据合同中的仲裁条款，将争议提交国际商会仲裁院、斯德哥尔摩商会仲裁院、中国国际经济贸易仲裁委员会等专业国际商事仲裁机构裁决。基于《承认及执行外国仲裁裁决公约》（即《纽约公约》），仲裁裁决可在全球 170 多个国家和地区得到承认与执行，具备很强的法律效力与执行保障。若不存在有效仲裁协议，企业也可选择在东道国法院提起民事诉讼，但当地诉讼可能面临地方保护主义、程序复杂、审理周期长等问题，通常作为仲裁的补充选项。</w:t>
      </w:r>
    </w:p>
    <w:p w14:paraId="6099CD7A">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当争议相对方是东道国政府，且政府采取了非法征收、歧视性执法、限制利润汇出、无故撤销许可、违反投资协定承诺等行为损害投资者合法权益时，投资者可通过专门的投资争端机制寻求救济。中国已与全球 100 多个国家签订双边投资协定，这些协定普遍约定了公平公正待遇、国民待遇、征收与补偿、资金自由转移等投资保护条款，以及投资者 - 国家争端解决机制。符合条件的企业可依据双边投资协定，向国际投资争端解决中心（ICSID）等机构提起国际投资仲裁，直接起诉东道国政府，仲裁裁决对东道国具有法律约束力，可通过国际条约体系保障执行。除此之外，针对东道国政府的具体行政行为，企业也可依据当地法律提起行政复议、行政诉讼，寻求东道国国内的司法救济。</w:t>
      </w:r>
    </w:p>
    <w:p w14:paraId="6FE4BEE5">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除企业自主维权外，我国政府层面也建立了多维度的支持与救济机制。企业在境外遭遇投资壁垒或歧视性经营障碍时，可向商务部反映情况，商务部可依法组织开展投资壁垒调查，根据调查结果采取调整国别投资政策、贸易反制等措施，维护企业合法权益。若东道国违反国际法和国际关系基本准则，对中国企业采取歧视性禁止、限制等制裁措施，中国政府可依据《中华人民共和国反外国制裁法》采取相应反制措施，保护中国企业和公民的合法权益。中国驻外使领馆也可为企业提供领事保护、政策咨询、外交交涉等支持，协助企业应对当地政治风险、突发事件与不公平待遇。</w:t>
      </w:r>
    </w:p>
    <w:p w14:paraId="7798A089">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此外，市场化的风险保障机制也是企业应对海外风险的重要工具。企业可向中国出口信用保险公司等机构投保境外投资政治风险保险，覆盖征收、战争、汇兑限制、政府违约等政治风险，出险后可获得相应的经济赔偿，保险公司同时依法取得代位求偿权，进一步拓展了风险救济的路径。</w:t>
      </w:r>
    </w:p>
    <w:p w14:paraId="0D0A8F6D">
      <w:pPr>
        <w:pStyle w:val="26"/>
        <w:numPr>
          <w:ilvl w:val="1"/>
          <w:numId w:val="6"/>
        </w:numPr>
        <w:spacing w:before="120" w:beforeLines="50" w:after="120" w:afterLines="50" w:line="360" w:lineRule="auto"/>
        <w:jc w:val="center"/>
        <w:outlineLvl w:val="2"/>
        <w:rPr>
          <w:rFonts w:ascii="Times New Roman" w:hAnsi="Times New Roman"/>
          <w:b/>
          <w:bCs/>
          <w:sz w:val="28"/>
          <w:szCs w:val="28"/>
          <w:lang w:val="en-GB"/>
        </w:rPr>
      </w:pPr>
      <w:r>
        <w:rPr>
          <w:rFonts w:hint="eastAsia" w:ascii="Times New Roman" w:hAnsi="Times New Roman"/>
          <w:b/>
          <w:bCs/>
          <w:sz w:val="28"/>
          <w:szCs w:val="28"/>
          <w:lang w:val="en-GB"/>
        </w:rPr>
        <w:t xml:space="preserve"> </w:t>
      </w:r>
      <w:bookmarkStart w:id="42" w:name="_Toc1654142900"/>
      <w:r>
        <w:rPr>
          <w:rFonts w:hint="eastAsia" w:ascii="Times New Roman" w:hAnsi="Times New Roman"/>
          <w:b/>
          <w:bCs/>
          <w:sz w:val="28"/>
          <w:szCs w:val="28"/>
          <w:lang w:val="en-GB"/>
        </w:rPr>
        <w:t>北美地区</w:t>
      </w:r>
      <w:bookmarkEnd w:id="42"/>
    </w:p>
    <w:p w14:paraId="629F0140">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美国</w:t>
      </w:r>
    </w:p>
    <w:p w14:paraId="798DF765">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（一）</w:t>
      </w:r>
      <w:r>
        <w:rPr>
          <w:rFonts w:ascii="Times New Roman" w:hAnsi="Times New Roman"/>
          <w:b/>
          <w:bCs/>
          <w:sz w:val="28"/>
          <w:szCs w:val="28"/>
          <w:lang w:val="en-US"/>
        </w:rPr>
        <w:t>外商投资审查制度</w:t>
      </w:r>
    </w:p>
    <w:p w14:paraId="5658D70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美国已形成以联邦国家安全审查为核心、多部门协同监管、联邦与州两级规制的外资管理体系，其中外国投资委员会（CFIUS）主导的安全审查是中资企业赴美投资的核心合规壁垒。</w:t>
      </w:r>
    </w:p>
    <w:p w14:paraId="293CF7D6">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1．审查机构与组织架构</w:t>
      </w:r>
    </w:p>
    <w:p w14:paraId="22FCA89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CFIUS是负责外资国家安全审查的跨部门协调机制，由财政部牵头并担任委员会主席，核心成员涵盖财政部、司法部、国土安全部、商务部、国防部、国务院、能源部、美国贸易代表办公室、科技政策办公室共9个联邦部门，各部门依据自身职能从国防安全、技术管控、贸易政策等维度开展风险评估。</w:t>
      </w:r>
    </w:p>
    <w:p w14:paraId="51DD104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白宫下属管理和预算办公室、经济顾问委员会、国家安全委员会、国家经济委员会、国土安全委员会，可根据交易情况列席审查并提供政策意见；劳工部、国家情报局作为无投票权成员，分别从劳工权益、情报安全角度提供专业支撑。</w:t>
      </w:r>
    </w:p>
    <w:p w14:paraId="28C783E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此外，美国商务部下属经济分析局（BEA）承担外资数据统计职能，按季度、年度公布外资规模、来源国别、行业分布等数据，为政策制定与风险研判提供支撑。</w:t>
      </w:r>
    </w:p>
    <w:p w14:paraId="091C59FD">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 核心法律规范体系</w:t>
      </w:r>
    </w:p>
    <w:p w14:paraId="1FB4F84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美国外资审查制度历经数十年演进，形成多层级规范体系，核心规则集中于联邦层面，各州在特定领域享有地方立法权。</w:t>
      </w:r>
    </w:p>
    <w:p w14:paraId="7CA6A76B">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2.1 基础法律框架</w:t>
      </w:r>
    </w:p>
    <w:p w14:paraId="2071A0F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1950年国防生产法》是外资安全审查的最早法律依据，首次赋予政府干预涉国家安全外资交易的权力。《2007年外国投资与国家安全法》（FINSA）正式确立CFIUS的法律地位，完善了审查程序与机构设置，明确了审查标准。</w:t>
      </w:r>
    </w:p>
    <w:p w14:paraId="42390F8D">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2.2 核心扩容立法</w:t>
      </w:r>
    </w:p>
    <w:p w14:paraId="22167CAD">
      <w:pPr>
        <w:spacing w:before="120" w:beforeLines="50" w:after="120" w:afterLines="50" w:line="360" w:lineRule="auto"/>
        <w:ind w:firstLine="560" w:firstLineChars="200"/>
        <w:jc w:val="both"/>
        <w:rPr>
          <w:rFonts w:ascii="Times New Roman" w:hAnsi="Times New Roman"/>
          <w:b/>
          <w:bCs/>
          <w:sz w:val="28"/>
          <w:szCs w:val="28"/>
          <w:lang w:val="en-US"/>
        </w:rPr>
      </w:pPr>
      <w:r>
        <w:rPr>
          <w:rFonts w:ascii="Times New Roman" w:hAnsi="Times New Roman"/>
          <w:sz w:val="28"/>
          <w:szCs w:val="28"/>
          <w:lang w:val="en-US"/>
        </w:rPr>
        <w:t>《2018年外国投资风险审查现代化法案》（FIRRMA）实现制度重大升级，大幅扩大CFIUS管辖范围，将非控制性投资、敏感区域不动产、技术转让等纳入审查；首次引入“受关注国家”概念并将中国列入，适用更严格审查标准。2019年9月FIRRMA实施细则出台，2020年2月生效，明确关键技术、关键基础设施、敏感个人数据的定义，细化不动产审查规则与申报阈值。</w:t>
      </w:r>
    </w:p>
    <w:p w14:paraId="53B9B444">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2.3 后续政策更新</w:t>
      </w:r>
    </w:p>
    <w:p w14:paraId="1645701E">
      <w:pPr>
        <w:spacing w:before="120" w:beforeLines="50" w:after="120" w:afterLines="50" w:line="360" w:lineRule="auto"/>
        <w:ind w:firstLine="560" w:firstLineChars="200"/>
        <w:jc w:val="both"/>
        <w:rPr>
          <w:rFonts w:ascii="Times New Roman" w:hAnsi="Times New Roman"/>
          <w:b/>
          <w:bCs/>
          <w:sz w:val="28"/>
          <w:szCs w:val="28"/>
          <w:lang w:val="en-US"/>
        </w:rPr>
      </w:pPr>
      <w:r>
        <w:rPr>
          <w:rFonts w:ascii="Times New Roman" w:hAnsi="Times New Roman"/>
          <w:sz w:val="28"/>
          <w:szCs w:val="28"/>
          <w:lang w:val="en-US"/>
        </w:rPr>
        <w:t>2022年9月拜登政府签署第14083号行政令，细化安全风险考量因素，扩展关键领域风险认定维度，强化供应链安全、技术竞争等方面的评估。2025年2月《“美国第一”投资政策备忘录》（以下简称“2025年备忘录”）作为顶层指引，明确 “经济安全就是国家安全”原则，对中国等“外国对手”实施双向严格投资限制，进一步扩大审查范围，同时为盟友国家设立投资“快速通道”。</w:t>
      </w:r>
    </w:p>
    <w:p w14:paraId="00EAF975">
      <w:pPr>
        <w:numPr>
          <w:ilvl w:val="1"/>
          <w:numId w:val="1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州级监管规则</w:t>
      </w:r>
    </w:p>
    <w:p w14:paraId="5170A6B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联邦层面整体奉行行业中立的外资政策，但阿肯色、佛罗里达等十余个州已出台地方性法规，限制外国主体购买农业用地或特定不动产，部分州要求已持有相关资产的中资子公司限期处置，州级监管持续趋严。</w:t>
      </w:r>
    </w:p>
    <w:p w14:paraId="69B89092">
      <w:pPr>
        <w:numPr>
          <w:ilvl w:val="0"/>
          <w:numId w:val="18"/>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审查覆盖范围与行业准入限制</w:t>
      </w:r>
    </w:p>
    <w:p w14:paraId="688F316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联邦层面整体奉行地点与行业中立的外资政策，外国直接投资除敏感行业外一般无需前置审批，可直接向投资所在地经济发展主管部门办理登记，仅涉国家安全的特定交易需接受CFIUS审查。历经多次立法更新，审查范围已从传统并购大幅延伸。</w:t>
      </w:r>
    </w:p>
    <w:p w14:paraId="5866A8EF">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3.1 交易类型全覆盖</w:t>
      </w:r>
    </w:p>
    <w:p w14:paraId="756BD05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审查已从单一的控制权并购，扩展至四类核心交易：一是非被动、非控制性投资，即使仅持有少数股权，只要涉及敏感领域仍可触发审查；二是敏感军事设施周边的不动产交易，涵盖买卖、租赁等各类产权安排；三是通过合资、技术许可等方式实现的技术转让交易；四是2025年备忘录明确将 “绿地投资”纳入审查，填补了新设投资的监管空白。</w:t>
      </w:r>
    </w:p>
    <w:p w14:paraId="44244237">
      <w:pPr>
        <w:numPr>
          <w:ilvl w:val="1"/>
          <w:numId w:val="18"/>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重点监管行业领域</w:t>
      </w:r>
    </w:p>
    <w:p w14:paraId="3E0D233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联邦层面对航空运输、通讯、能源、矿产、渔业、水电等行业设置了外资准入限制。在安全审查维度，核心监管聚焦三大领域：（1）关键技术领域：涵盖人工智能、微电子、量子信息、先进制造、生物技术等前沿方向。其中生物技术及生物制造是近年审查重点，涉及合成生物学、基因编辑技术、人类遗传资源数据、国防相关生物应用技术的投资，无论持股比例高低，均面临严格安全评估；（2）关键基础设施领域：包括能源、交通、水务、通信、金融等支撑社会运行的核心设施，外资投资相关企业可能影响公共安全与经济稳定；（3）敏感个人数据领域：掌握大规模公民个人信息、生物特征数据、健康医疗数据的企业，其外资收购交易被重点监管。涉及大规模个人健康数据、临床生物信息的生物技术企业，因触碰“敏感个人数据”红线，同样属于高风险领域。2025年备忘录进一步将医疗、农业、能源、原材料等纳入战略行业审查范围，实现产业链关键环节全覆盖。</w:t>
      </w:r>
    </w:p>
    <w:p w14:paraId="190C58F6">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3.3 特殊监管规则</w:t>
      </w:r>
    </w:p>
    <w:p w14:paraId="09BD8B6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针对“受关注国家”适用更严格标准与更低申报阈值。当外国政府在投资实体中直接或间接持股达49%及以上，且该实体在敏感领域美国企业中直接或间接持股达25%及以上时，必须向CFIUS申报。不动产方面，2024年7月规则明确，30个州内40余处军事设施周边1英里、19处核心军事设施周边100英里范围内的外资不动产交易，均需接受审查。</w:t>
      </w:r>
    </w:p>
    <w:p w14:paraId="479953BE">
      <w:pPr>
        <w:numPr>
          <w:ilvl w:val="0"/>
          <w:numId w:val="18"/>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审查程序与执法机制</w:t>
      </w:r>
    </w:p>
    <w:p w14:paraId="602E86C0">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4.1 三类并行监管体系</w:t>
      </w:r>
    </w:p>
    <w:p w14:paraId="73F44EB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外资收购监管分为三类独立体系：一是反垄断监管，由联邦贸易委员会与司法部共同实施，适用于所有市场主体，旨在维护市场竞争；二是证券市场监管，由美国证券交易委员会（SEC）负责，规制上市公司收购的信息披露与市场秩序；三是外资国家安全审查，由CFIUS主导，仅针对外国投资者，聚焦国家安全风险。三类监管并行推进，银行业等重点行业还需遵守专门的行业并购规则。</w:t>
      </w:r>
    </w:p>
    <w:p w14:paraId="7E7C8995">
      <w:pPr>
        <w:numPr>
          <w:ilvl w:val="1"/>
          <w:numId w:val="18"/>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标准审查流程</w:t>
      </w:r>
    </w:p>
    <w:p w14:paraId="0AB727D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外国投资者应主动将涉国家安全风险的交易向CFIUS申报，CFIUS成员部门也可依职权主动启动审查。流程分为三个阶段：收到完整申报后30日内完成初步审查，评估是否存在安全风险；若存在疑点则启动45天正式调查；重大敏感交易可提交总统，由总统在15日内作出最终决定。由于法律未明确定义“国家安全”，CFIUS拥有较大裁量权，审查不单纯考量经济因素。</w:t>
      </w:r>
    </w:p>
    <w:p w14:paraId="2F814A8A">
      <w:pPr>
        <w:numPr>
          <w:ilvl w:val="1"/>
          <w:numId w:val="18"/>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执法力度持续强化</w:t>
      </w:r>
    </w:p>
    <w:p w14:paraId="0E15504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2024年4月CFIUS发布拟议规则，全面强化执法权限。扩大交易方信息提交义务，拓宽虚假陈述、信息遗漏的处罚情形，将违规民事罚款上限从25万美元提升至500万美元，同时扩大传票适用权力以增强调查能力。此外，CFIUS 建立“例外投资者”白名单制度，符合条件的外国投资者开展的非控制性投资可豁免审查，该制度主要适用于美国盟友主体。</w:t>
      </w:r>
    </w:p>
    <w:p w14:paraId="62B5537C">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（二）反垄断与经营者集中审查</w:t>
      </w:r>
    </w:p>
    <w:p w14:paraId="6150B5E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 执法体系概述</w:t>
      </w:r>
    </w:p>
    <w:p w14:paraId="705E5FE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美国实行联邦与州双层并行的反垄断执法架构，执法权由联邦主管机构与各州执法机构分别行使，共同构成覆盖全国的竞争执法网络。</w:t>
      </w:r>
    </w:p>
    <w:p w14:paraId="6F92726A">
      <w:pPr>
        <w:numPr>
          <w:ilvl w:val="1"/>
          <w:numId w:val="1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联邦执法机构</w:t>
      </w:r>
    </w:p>
    <w:p w14:paraId="603C479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联邦层面由联邦贸易委员会（FTC）与司法部反垄断局（Antitrust Division of the U.S. Department of Justice）共同承担反垄断执法职责。两者依据不同联邦法律行使职权，覆盖民事调查、行政处罚与刑事追诉全链条，协同维护全国市场竞争秩序。</w:t>
      </w:r>
    </w:p>
    <w:p w14:paraId="03943CAA">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1.2 州级执法机构</w:t>
      </w:r>
    </w:p>
    <w:p w14:paraId="68E7E513">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各州由州总检察长负责本行政区域内的反垄断执法。绝大多数州均制定了本州的反垄断专门立法，州级执法不依附于联邦执法程序，可独立对损害本州市场竞争的行为启动调查与追责。州级规则通常与联邦反垄断法核心原则相衔接，但在适用范围、处罚标准等方面可作出更严格的规定。</w:t>
      </w:r>
    </w:p>
    <w:p w14:paraId="234C0742">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 反垄断核心法律框架</w:t>
      </w:r>
    </w:p>
    <w:p w14:paraId="36BF446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美国反垄断法律体系以四部联邦成文法为核心，辅以各州配套立法与联邦最高法院及各级法院的司法判例，形成了覆盖垄断协议、经营者集中、滥用市场支配地位全场景的规制体系。</w:t>
      </w:r>
    </w:p>
    <w:p w14:paraId="62AFB33A">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2.1 联邦核心立法</w:t>
      </w:r>
    </w:p>
    <w:p w14:paraId="097B9E6D">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2.1.1 《谢尔曼法》（Sherman Act）</w:t>
      </w:r>
    </w:p>
    <w:p w14:paraId="667973B8">
      <w:pPr>
        <w:spacing w:before="120" w:beforeLines="50" w:after="120" w:afterLines="50" w:line="360" w:lineRule="auto"/>
        <w:ind w:firstLine="560" w:firstLineChars="200"/>
        <w:jc w:val="both"/>
        <w:rPr>
          <w:rFonts w:ascii="Times New Roman" w:hAnsi="Times New Roman"/>
          <w:b/>
          <w:bCs/>
          <w:sz w:val="28"/>
          <w:szCs w:val="28"/>
          <w:lang w:val="en-US"/>
        </w:rPr>
      </w:pPr>
      <w:r>
        <w:rPr>
          <w:rFonts w:ascii="Times New Roman" w:hAnsi="Times New Roman"/>
          <w:sz w:val="28"/>
          <w:szCs w:val="28"/>
          <w:lang w:val="en-US"/>
        </w:rPr>
        <w:t>《谢尔曼法》（Sherman Act）是美国反垄断制度的基础性法律，确立了反垄断的核心原则，禁止一切不合理限制贸易的共谋行为，以及垄断、企图垄断或联合共谋垄断市场的行为，是反垄断刑事责任的主要法律依据。</w:t>
      </w:r>
    </w:p>
    <w:p w14:paraId="5C59358E">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2.1.2 《克莱顿法》（Clayton Act）</w:t>
      </w:r>
    </w:p>
    <w:p w14:paraId="65686F03">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《克莱顿法》（Clayton Act）对《谢尔曼法》作出补充细化，专门规制价格歧视、排他性交易、搭售、公司合并等具体反竞争行为，确立了经营者集中事前强制申报制度的法律基础。</w:t>
      </w:r>
    </w:p>
    <w:p w14:paraId="7277AB8A">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2.1.3 《联邦贸易委员会法》（Federal Trade Commission Act）</w:t>
      </w:r>
    </w:p>
    <w:p w14:paraId="73FCCB1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《联邦贸易委员会法》（Federal Trade Commission Act）设立联邦贸易委员会作为专门反垄断执法机构，禁止商业活动中的不公平竞争方法以及不公平或欺骗性行为，赋予FTC行政执法调查权与行政处罚权。</w:t>
      </w:r>
    </w:p>
    <w:p w14:paraId="4407F1DE">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2.1.4 《罗宾逊-帕特曼法》（Robinson-Patman Act）</w:t>
      </w:r>
    </w:p>
    <w:p w14:paraId="7FD6BA9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《罗宾逊-帕特曼法》（Robinson-Patman Act）专门规制价格歧视行为，禁止从事商业活动的主体在同等交易条件下对不同购买者实行差别定价，损害市场竞争。</w:t>
      </w:r>
    </w:p>
    <w:p w14:paraId="6BC251F5">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2.2 州级立法</w:t>
      </w:r>
    </w:p>
    <w:p w14:paraId="18CF08E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绝大多数州均制定了本州的反垄断法规，内容通常与联邦反垄断法的核心原则保持一致，但在适用主体、行为范围、处罚幅度等方面可作出不同于联邦法的规定。州级执法不受联邦执法程序的限制，可独立启动调查与追责程序。</w:t>
      </w:r>
    </w:p>
    <w:p w14:paraId="59968613">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 经营者集中审查制度</w:t>
      </w:r>
    </w:p>
    <w:p w14:paraId="7EA26B2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美国对经营者集中实行事前强制申报与实质竞争审查相结合的制度，依据《克莱顿法》及《哈特——斯科特——罗迪诺反托拉斯改进法》（HSR法）实施，对可能损害市场竞争的并购交易进行事前管控。</w:t>
      </w:r>
    </w:p>
    <w:p w14:paraId="37F5B8B8">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3.1 集中交易的主要类型</w:t>
      </w:r>
    </w:p>
    <w:p w14:paraId="68BC46E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受规制的经营者集中交易包括三类：（1）经营者之间的合并；（2）收购其他经营者的股份、资产等权益；（3）设立合营企业等具有控制权变更效果的交易。</w:t>
      </w:r>
    </w:p>
    <w:p w14:paraId="19F9FB5E">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3.2 强制申报门槛</w:t>
      </w:r>
    </w:p>
    <w:p w14:paraId="262D15F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经营者集中交易同时满足以下三项条件的，交易双方应当在交易实施前向联邦执法机构履行申报义务：（1）美国商业影响条件：收购方或被收购方在美国从事商业活动，或交易对美国商业产生影响；（2）交易规模门槛（2026年标准）：交易完成后，收购方持有被收购方资产、有表决权股份或其他非公司实体权益的总价值超过1.339亿美元；（3）交易方规模门槛（2026年标准）：参与交易的至少一方，其全球总资产或全球年度净销售额不低于2.678亿美元，且另一方的全球总资产或全球年度净销售额不低于2680万美元；若交易规模超过5.355亿美元，则自动满足交易方规模条件。</w:t>
      </w:r>
    </w:p>
    <w:p w14:paraId="2AB1B11A">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3.3 实质审查标准</w:t>
      </w:r>
    </w:p>
    <w:p w14:paraId="7DE407A3">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执法机构对申报交易进行竞争效果评估，集中交易产生下列效果之一的，可能被认定为违反反垄断法律：（1）显著提升高度集中市场的市场集中度；（2）消除相关市场内企业之间的实质性竞争；（3）增加市场参与者达成协调行为的风险；（4）消除相关市场中的潜在进入者；（5）导致集中后的实体实施限制竞争的产品或服务行为；（6）巩固或扩大交易主体的市场支配地位。</w:t>
      </w:r>
    </w:p>
    <w:p w14:paraId="3005E636">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3.4 审查程序与时限</w:t>
      </w:r>
    </w:p>
    <w:p w14:paraId="6D5D71F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经营者集中审查分为两个阶段：（1）初始审查阶段：自交易方提交完整申报之日起，初始等待期为30个自然日。期限内执法机构未提出进一步要求的，视为审查通过，交易可依法实施；（2）深入审查阶段：若执法机构认为交易存在重大竞争疑虑，可发出第二次信息要求（Second Request），要求交易方补充提交相关材料。发出第二次信息要求后，审查时限暂停计算；待申报方提交全部补充信息后，重新计算30个自然日的审查期限。</w:t>
      </w:r>
    </w:p>
    <w:p w14:paraId="34EA1475">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3.5 审查结果</w:t>
      </w:r>
    </w:p>
    <w:p w14:paraId="131F8C9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经审查，执法机构可作出三类处理：（1）终止审查：认定交易不具有反竞争效果的，终止调查且不采取任何行动，视为交易通过审查；（2）附条件批准：交易存在竞争关切但可通过救济措施消除的，执法机构可与交易方达成和解，以同意令或和解协议的形式附加限制性条件后批准交易；（3）禁止交易：认定交易将严重损害竞争且无法通过附加条件救济的，执法机构可向法院提起诉讼，禁止集中交易的实施。</w:t>
      </w:r>
    </w:p>
    <w:p w14:paraId="3C607C2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3.6 违法实施集中的法律责任</w:t>
      </w:r>
    </w:p>
    <w:p w14:paraId="5C86D59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交易方未按规定履行申报义务、申报材料不完整或存在不实陈述，或在法定等待期届满前擅自实施集中的，可被处以民事罚款。2025年罚款标准为最高每日53,088美元，按违法持续天数累计计算；2026年调整标准暂未公布。</w:t>
      </w:r>
    </w:p>
    <w:p w14:paraId="3BBC759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 垄断协议规制</w:t>
      </w:r>
    </w:p>
    <w:p w14:paraId="47F71D9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垄断协议是美国反垄断法规制的核心领域，对严重限制竞争的横向核心卡特尔适用 “本身违法原则”，无需考量实际效果即可认定违法；对纵向协议等其他限制竞争行为适用 “合理原则”，结合市场影响进行个案评估。</w:t>
      </w:r>
    </w:p>
    <w:p w14:paraId="6E37ACA8">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4.1 垄断协议的主要类型</w:t>
      </w:r>
    </w:p>
    <w:p w14:paraId="68E791B4">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4.1.1 横向垄断协议</w:t>
      </w:r>
    </w:p>
    <w:p w14:paraId="16CD9D2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横向垄断协议是指处于同一经营环节的竞争者之间达成的反竞争协议，主要包括固定价格、限制产量、划分市场、串通投标、集体抵制等。</w:t>
      </w:r>
    </w:p>
    <w:p w14:paraId="6912B72F">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4.1.2 纵向垄断协议</w:t>
      </w:r>
    </w:p>
    <w:p w14:paraId="0E0A73F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纵向垄断协议是指处于上下游经营环节的经营者之间达成的反竞争协议，主要包括价格歧视、限定转售价格、搭售、排他性交易等。</w:t>
      </w:r>
    </w:p>
    <w:p w14:paraId="4210C305">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4.2 法律责任</w:t>
      </w:r>
    </w:p>
    <w:p w14:paraId="1816784D">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4.2.1 《谢尔曼法》项下的刑事责任</w:t>
      </w:r>
    </w:p>
    <w:p w14:paraId="3111E183">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公司违法的，最高可处1亿美元罚金；个人违法的，最高可处100万美元罚金，并可处最长10年监禁。</w:t>
      </w:r>
    </w:p>
    <w:p w14:paraId="160539A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4.2.2 《谢尔曼法》《克莱顿法》项下的民事责任</w:t>
      </w:r>
    </w:p>
    <w:p w14:paraId="6180A39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执法机构或私人原告可请求法院判令停止违法行为，并采取资产剥离、业务分拆等结构性救济或行为性救济措施。</w:t>
      </w:r>
    </w:p>
    <w:p w14:paraId="1F0FAF7E">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4.2.3 《联邦贸易委员会法》项下的行政与民事责任</w:t>
      </w:r>
    </w:p>
    <w:p w14:paraId="37CC48F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FTC可责令停止违法行为，根据案件性质处以罚款、没收违法所得、责令赔偿损失，或要求恢复市场竞争原状。</w:t>
      </w:r>
    </w:p>
    <w:p w14:paraId="33191868">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5. 滥用市场支配地位规制</w:t>
      </w:r>
    </w:p>
    <w:p w14:paraId="64CA295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美国反垄断法禁止具有市场支配地位的企业滥用其市场力量，排除、限制竞争。该类规制不以协议存在为前提，聚焦于具有市场优势地位企业的单方行为。</w:t>
      </w:r>
    </w:p>
    <w:p w14:paraId="3AA0ED76">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5.1 市场支配地位的认定</w:t>
      </w:r>
    </w:p>
    <w:p w14:paraId="4AC28F33">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认定企业是否具有市场支配地位，需综合考量多项因素，包括：相关市场的进入壁垒、企业的市场份额、行业定价模式、市场集中度水平、竞争者的规模与实力、行业产能情况、下游客户转向其他产品或服务的难易程度、市场需求特征等。市场份额并非唯一判断标准，需结合市场结构与行为综合评估。</w:t>
      </w:r>
    </w:p>
    <w:p w14:paraId="24FC6E5F">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5.2 滥用行为的主要类型</w:t>
      </w:r>
    </w:p>
    <w:p w14:paraId="0322F9F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具有市场支配地位的企业实施下列行为，可能构成滥用市场支配地位：（1）排他性交易：要求交易相对方不得与竞争对手进行交易；（2）捆绑销售：强迫交易相对方在购买核心产品时同时购买其他非关联产品；（3）掠夺性定价：以低于成本的价格销售产品，排挤竞争对手后再抬高价格；（4）无正当理由拒绝交易：无合理商业理由拒绝向竞争对手或客户提供产品或服务；（5）价格歧视：对同等条件的交易相对方实行不同的交易价格；（6）限定转售价格：固定或限制下游经销商的转售价格区间；（7）专利滥用：利用专利权实施排除、限制竞争的行为；（8）其他利用市场力量损害竞争的行为。</w:t>
      </w:r>
    </w:p>
    <w:p w14:paraId="6FDD6A0D">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5.3 法律责任</w:t>
      </w:r>
    </w:p>
    <w:p w14:paraId="1C3A5A5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滥用市场支配地位行为的法律责任与垄断协议一致，可适用《谢尔曼法》项下的刑事处罚，以及《克莱顿法》《联邦贸易委员会法》项下的民事救济与行政处罚。</w:t>
      </w:r>
    </w:p>
    <w:p w14:paraId="05A81EC3">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6. 反垄断决定的救济途径</w:t>
      </w:r>
    </w:p>
    <w:p w14:paraId="1DB0D4F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当事人对反垄断执法机构的决定或法院判决不服的，可通过法定程序寻求救济。</w:t>
      </w:r>
    </w:p>
    <w:p w14:paraId="23E5DA93">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6.1 对联邦贸易委员会决定的救济</w:t>
      </w:r>
    </w:p>
    <w:p w14:paraId="43FEF5A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当事人对联邦贸易委员会作出的行政决定不服的，可在收到决定之日起60个自然日内，向联邦贸易委员会申请复议；对复议结果仍不服的，可向联邦巡回上诉法院提起司法审查诉讼。</w:t>
      </w:r>
    </w:p>
    <w:p w14:paraId="27229648">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6.2 对法院判决的救济</w:t>
      </w:r>
    </w:p>
    <w:p w14:paraId="74EC0BB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针对司法部或联邦贸易委员会向联邦法院提起的反垄断诉讼，当事人对法院判决不服的，可在判决作出之日起90个自然日内上诉至相应的联邦上诉法院；符合法定条件的，可进一步上诉至美国联邦最高法院。</w:t>
      </w:r>
    </w:p>
    <w:p w14:paraId="1E8B4BB9">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（三）劳动合规</w:t>
      </w:r>
    </w:p>
    <w:p w14:paraId="60E4A7A3">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 美国劳动用工法律体系与监管框架</w:t>
      </w:r>
    </w:p>
    <w:p w14:paraId="3EFFF13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美国劳动就业法律实行联邦、州、地方三级规制体系，联邦法律设定最低保护基准，各州及地方可制定更严格规则。当联邦法与州法规定重叠时，适用对雇员更为有利的标准。</w:t>
      </w:r>
    </w:p>
    <w:p w14:paraId="7BD6362D">
      <w:pPr>
        <w:spacing w:before="120" w:beforeLines="50" w:after="120" w:afterLines="50" w:line="360" w:lineRule="auto"/>
        <w:ind w:firstLine="560" w:firstLineChars="200"/>
        <w:jc w:val="both"/>
        <w:rPr>
          <w:rFonts w:ascii="Times New Roman" w:hAnsi="Times New Roman"/>
          <w:b/>
          <w:bCs/>
          <w:sz w:val="28"/>
          <w:szCs w:val="28"/>
          <w:lang w:val="en-US"/>
        </w:rPr>
      </w:pPr>
      <w:r>
        <w:rPr>
          <w:rFonts w:ascii="Times New Roman" w:hAnsi="Times New Roman"/>
          <w:sz w:val="28"/>
          <w:szCs w:val="28"/>
          <w:lang w:val="en-US"/>
        </w:rPr>
        <w:t>联邦层面核心监管机构包括：劳工部（DOL）统筹劳动政策实施；平等就业机会委员会（EEOC）负责反就业歧视执法；国家劳动关系委员会（NLRB）主管集体谈判与不当劳动行为认定；职业安全与健康管理局（OSHA）负责工作场所安全监管。</w:t>
      </w:r>
    </w:p>
    <w:p w14:paraId="63E9631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 核心联邦劳动立法</w:t>
      </w:r>
    </w:p>
    <w:p w14:paraId="0B8A73CC">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2.1 劳动关系与集体谈判</w:t>
      </w:r>
    </w:p>
    <w:p w14:paraId="59890CC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国家劳资关系法》（NLRA）是美国集体谈判制度的基石，立法目的在于平衡劳资双方谈判地位，鼓励通过集体协商化解劳动争议。该法禁止雇主实施五类不当劳动行为：干涉、限制或胁迫员工行使结社与集体谈判权；支配或资助劳工组织；因员工参与工会活动实施就业歧视；因员工举报或参与调查程序进行报复；拒绝与员工代表进行善意集体谈判。</w:t>
      </w:r>
    </w:p>
    <w:p w14:paraId="79BD47C6">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2.2 反就业歧视</w:t>
      </w:r>
    </w:p>
    <w:p w14:paraId="6D776A5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构建了多维度的反就业歧视法律体系，核心立法包括：（1）《1964年民权法第七章》：禁止基于种族、肤色、宗教、性别、国籍的就业歧视，适用于雇员人数15人以上的雇主，涵盖招聘、录用、薪酬、晋升、解雇等全用工流程；（2）</w:t>
      </w:r>
      <w:r>
        <w:rPr>
          <w:rFonts w:ascii="Times New Roman" w:hAnsi="Times New Roman"/>
          <w:b/>
          <w:bCs/>
          <w:sz w:val="28"/>
          <w:szCs w:val="28"/>
          <w:lang w:val="en-US"/>
        </w:rPr>
        <w:t>《</w:t>
      </w:r>
      <w:r>
        <w:rPr>
          <w:rFonts w:ascii="Times New Roman" w:hAnsi="Times New Roman"/>
          <w:sz w:val="28"/>
          <w:szCs w:val="28"/>
          <w:lang w:val="en-US"/>
        </w:rPr>
        <w:t>1967年反劳动者年龄歧视法》（ADEA）：保护40周岁及以上劳动者免受基于年龄的就业歧视；（3）《美国残疾人法》（ADA）：雇员15人以上的雇主不得歧视具备岗位履职能力的残疾人，应当为其提供合理工作便利；（4）《同酬法》：禁止基于性别的薪酬差异，要求同等价值工作获得同等报酬；（5）《怀孕歧视法案》（PDA）：禁止基于怀孕、生育及相关健康状况的就业歧视。</w:t>
      </w:r>
    </w:p>
    <w:p w14:paraId="19369B2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企业在招聘面试中，不得询问求职者的种族、肤色、宗教、年龄、怀孕状况、残疾、国籍、基因信息等敏感问题。EEOC官方发布有面试禁忌问题清单，企业应当参照执行，避免构成歧视嫌疑。</w:t>
      </w:r>
    </w:p>
    <w:p w14:paraId="5EEA7557">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2.3 工作时间与薪酬基准</w:t>
      </w:r>
    </w:p>
    <w:p w14:paraId="63A46C7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公平劳动标准法》（FLSA）确立联邦层面的劳动基准，核心内容包括：（1）最低工资与加班工资：规定联邦最低工资标准，员工每周工作超过40小时的部分，雇主应支付不低于正常工资1.5倍的加班费。待命时间、轮班休息时间是否计入工时，依工作性质与雇主管控程度具体认定；（2）童工保护：对14至15岁未成年人设定工作时限，上学期间每日不超过3小时、每周不超过18小时；非上学期间每日不超过8小时、每周不超过40小时，每日工作时段亦有明确限制。</w:t>
      </w:r>
    </w:p>
    <w:p w14:paraId="35E1CD40">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2.4 休假与健康保障</w:t>
      </w:r>
    </w:p>
    <w:p w14:paraId="328BD6A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家庭与医疗休假法》（FMLA）适用于雇员50人以上的私营雇主及公共机构、学校。符合工龄与工时条件的雇员，每12个月可享受最多12周的无薪休假，用于生育抚养子女、领养或寄养儿童、照料患重病的直系亲属或自身罹患重病。休假期间雇员继续享有团体健康保险，休假结束后有权恢复原岗位或同等岗位。现役军人家属因照料受伤军人可享受最长26周的护理假。</w:t>
      </w:r>
    </w:p>
    <w:p w14:paraId="39B7C786">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2.5 职业安全与健康</w:t>
      </w:r>
    </w:p>
    <w:p w14:paraId="5A6E324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1970年职业安全与健康法》设立职业安全与健康管理局（OSHA），制定并强制执行工作场所安全健康标准。员工享有多项法定权利：提交保密投诉申请现场检查、接受岗位安全培训、查阅本单位工伤记录、监测工作场所危害物质。因行使上述权利遭受雇主报复的，可向OSHA提出申诉。</w:t>
      </w:r>
    </w:p>
    <w:p w14:paraId="508AA188">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2.6 移民与用工身份</w:t>
      </w:r>
    </w:p>
    <w:p w14:paraId="7163C7E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《移民改革与控制法》（IRCA）禁止雇主故意雇佣无合法工作授权的外国人，要求雇主履行雇员身份与工作授权核实义务。</w:t>
      </w:r>
    </w:p>
    <w:p w14:paraId="1BF8DF8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外籍人员在美工作需具备合法工作身份，如：（1）永久居民（绿卡）：可不受雇主限制从事工作，但联邦政府部分特定岗位仅限美国公民；（2）工作签证：如H-1B、L-1等，持有人仅可为签证载明的雇主工作，雇佣关系终止则工作授权失效，签证需在法定期限内申请延期；（3）工作许可（EAD）：可在美自由从业，有有效期限制，到期前需及时申请延期；（4）课程实习训练（CPT）：仅限外国学生用于与学业相关的培训，全日制注册学生可申请，累计使用不得超过12个月。雇主应当核实外籍员工的工作授权，严禁雇佣无合法身份人员。</w:t>
      </w:r>
    </w:p>
    <w:p w14:paraId="35A42C90">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2.7 雇员福利保障</w:t>
      </w:r>
    </w:p>
    <w:p w14:paraId="764E671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雇员退休收入保障法》（ERISA）对私营企业的退休计划与健康福利计划设定最低标准，要求计划发起人充分披露计划信息，为计划管理人设定受信义务，建立参与者申诉程序，并通过养老金福利担保公司（PBGC）为计划终止后的福利提供保障。</w:t>
      </w:r>
    </w:p>
    <w:p w14:paraId="38D55125">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 基本雇佣制度</w:t>
      </w:r>
    </w:p>
    <w:p w14:paraId="6A96BB0D">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3.1 自由雇佣原则</w:t>
      </w:r>
    </w:p>
    <w:p w14:paraId="3392CDE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美国绝大多数州默认适用“自由雇佣”（at-will employment）原则，即雇主可随时以合法理由或无理由解雇员工，员工亦可随时主动离职。但该原则并非不受限制：基于种族、年龄、性别、残疾等受保护特征的解雇构成违法；员工举报雇主违法行为、申请工伤赔偿、拒绝从事违法活动等情形下，雇主不得解雇，否则构成违反公共政策的非法解雇。此外，11个州将“善意与正当理由”作为解雇的法定前提。</w:t>
      </w:r>
    </w:p>
    <w:p w14:paraId="21F2954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联邦法律无强制支付解约金的规定，解约金通常由双方协商或劳动合同约定。部分州在特定情形下要求雇主支付离职补偿。</w:t>
      </w:r>
    </w:p>
    <w:p w14:paraId="72567825">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3.2 劳动合同形式</w:t>
      </w:r>
    </w:p>
    <w:p w14:paraId="7A4C271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法律不强制要求订立书面劳动合同，劳动关系可通过口头约定、实际履行行为或聘用函等文件予以证明。实践中，企业通常向员工出具聘用函，明确岗位、薪酬、工作内容等核心条款，以降低用工争议风险。工会集体谈判协议通常约定，雇主解雇被代表员工需具备正当事由。</w:t>
      </w:r>
    </w:p>
    <w:p w14:paraId="56847CBD">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 法定雇员福利</w:t>
      </w:r>
    </w:p>
    <w:p w14:paraId="33B2415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法定雇员福利主要包括以下类别：（1）社会保障与医疗保险（FICA）：雇主从雇员工资中扣缴6.2%的社会保障税（设年度缴费基数上限）和1.45%的医疗保险税；年薪超过20万美元的部分加征0.9%的医疗保险税。雇主等额匹配缴纳社会保障税与基础医疗保险税；（2）失业保险：由联邦与州共同设立失业保险基金，资金主要来源于雇主缴纳的失业保险税，税率根据雇主历史解雇率浮动（经验定率机制）；（3）工伤赔偿保险：各州立法强制雇主投保，为因工作遭受伤害或罹患职业病的员工提供现金补偿与医疗保障；（4）健康保险：《患者保护与平价医疗法案》要求雇员50人以上的雇主为员工提供符合标准的平价医疗保险；（5）家庭与医疗休假：符合条件的雇员每年可享 12 周无薪事假，休假期间保留健康保险与工作岗位。</w:t>
      </w:r>
    </w:p>
    <w:p w14:paraId="588188E9">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（四）环境保护合规</w:t>
      </w:r>
    </w:p>
    <w:p w14:paraId="7C6E3878">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 监管体系概述</w:t>
      </w:r>
    </w:p>
    <w:p w14:paraId="2B794E07">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1.1 美国环境保护署（EPA）</w:t>
      </w:r>
    </w:p>
    <w:p w14:paraId="67B334E3">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环境保护署（EPA）是美国联邦层面环境保护的主管行政机关，成立于1970年7月，总部设于华盛顿哥伦比亚特区。EPA署长由总统直接任命，核心使命是保护公众健康与环境质量，制定并执行国家环境战略、政策与规制标准。</w:t>
      </w:r>
    </w:p>
    <w:p w14:paraId="6100DA3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EPA的主要监管职责包括：建立健全环境保护基本法律制度；统筹协调重大环境问题并实施监督管理；推动落实国家污染减排目标；提出环境保护领域固定资产投资与财政资金安排建议，按权限审批相关投资项目；从源头预防和控制环境污染与生态破坏；指导协调全国生态保护工作；负责核安全与辐射安全监管；组织开展环境监测与信息发布；推动环境科学技术研究与国际合作；开展环境保护宣传教育等。</w:t>
      </w:r>
    </w:p>
    <w:p w14:paraId="78BFF2C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中资企业在美投资经营涉及环境合规问题的，可通过EPA官方网站（</w:t>
      </w:r>
      <w:r>
        <w:fldChar w:fldCharType="begin"/>
      </w:r>
      <w:r>
        <w:instrText xml:space="preserve">HYPERLINK "https://www.epa.gov/"</w:instrText>
      </w:r>
      <w:r>
        <w:fldChar w:fldCharType="separate"/>
      </w:r>
      <w:r>
        <w:rPr>
          <w:rStyle w:val="22"/>
          <w:rFonts w:ascii="Times New Roman" w:hAnsi="Times New Roman"/>
          <w:sz w:val="28"/>
          <w:szCs w:val="28"/>
          <w:lang w:val="en-US"/>
        </w:rPr>
        <w:t>https://www.epa.gov/</w:t>
      </w:r>
      <w:r>
        <w:fldChar w:fldCharType="end"/>
      </w:r>
      <w:r>
        <w:rPr>
          <w:rFonts w:ascii="Times New Roman" w:hAnsi="Times New Roman"/>
          <w:sz w:val="28"/>
          <w:szCs w:val="28"/>
          <w:lang w:val="en-US"/>
        </w:rPr>
        <w:t>）提供的咨询渠道提交相关信息进行政策咨询。</w:t>
      </w:r>
    </w:p>
    <w:p w14:paraId="76D0A53C">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1.2 其他相关联邦机构</w:t>
      </w:r>
    </w:p>
    <w:p w14:paraId="3D5FE7C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除EPA外，美国联邦政府多个部门在其职责范围内承担环境管理职能，共同构成环境保护监管体系：（1）内政部（DOI）：下辖土地管理局、鱼类和野生动物局、国家公园管理局等机构，负责自然资源管护、濒危物种保护、公共土地管理等职责。官方网站：</w:t>
      </w:r>
      <w:r>
        <w:fldChar w:fldCharType="begin"/>
      </w:r>
      <w:r>
        <w:instrText xml:space="preserve">HYPERLINK "https://www.doi.gov/"</w:instrText>
      </w:r>
      <w:r>
        <w:fldChar w:fldCharType="separate"/>
      </w:r>
      <w:r>
        <w:rPr>
          <w:rStyle w:val="22"/>
          <w:rFonts w:ascii="Times New Roman" w:hAnsi="Times New Roman"/>
          <w:sz w:val="28"/>
          <w:szCs w:val="28"/>
          <w:lang w:val="en-US"/>
        </w:rPr>
        <w:t>https://www.doi.gov/</w:t>
      </w:r>
      <w:r>
        <w:fldChar w:fldCharType="end"/>
      </w:r>
      <w:r>
        <w:rPr>
          <w:rFonts w:ascii="Times New Roman" w:hAnsi="Times New Roman"/>
          <w:sz w:val="28"/>
          <w:szCs w:val="28"/>
          <w:lang w:val="en-US"/>
        </w:rPr>
        <w:t>；（2）农业部（USDA）：下辖林业局，负责林地资源培育、森林生态保护、林业经营管理及森林火灾防控等工作。官方网站：</w:t>
      </w:r>
      <w:r>
        <w:fldChar w:fldCharType="begin"/>
      </w:r>
      <w:r>
        <w:instrText xml:space="preserve">HYPERLINK "https://www.usda.gov/"</w:instrText>
      </w:r>
      <w:r>
        <w:fldChar w:fldCharType="separate"/>
      </w:r>
      <w:r>
        <w:rPr>
          <w:rStyle w:val="22"/>
          <w:rFonts w:ascii="Times New Roman" w:hAnsi="Times New Roman"/>
          <w:sz w:val="28"/>
          <w:szCs w:val="28"/>
          <w:lang w:val="en-US"/>
        </w:rPr>
        <w:t>https://www.usda.gov/</w:t>
      </w:r>
      <w:r>
        <w:fldChar w:fldCharType="end"/>
      </w:r>
      <w:r>
        <w:rPr>
          <w:rFonts w:ascii="Times New Roman" w:hAnsi="Times New Roman"/>
          <w:sz w:val="28"/>
          <w:szCs w:val="28"/>
          <w:lang w:val="en-US"/>
        </w:rPr>
        <w:t>；（3）劳工部（DOL）：下辖职业安全与健康局、矿业安全与健康局，负责从职业健康与生产安全角度对作业环境实施监管。官方网站：</w:t>
      </w:r>
      <w:r>
        <w:fldChar w:fldCharType="begin"/>
      </w:r>
      <w:r>
        <w:instrText xml:space="preserve">HYPERLINK "https://www.dol.gov/"</w:instrText>
      </w:r>
      <w:r>
        <w:fldChar w:fldCharType="separate"/>
      </w:r>
      <w:r>
        <w:rPr>
          <w:rStyle w:val="22"/>
          <w:rFonts w:ascii="Times New Roman" w:hAnsi="Times New Roman"/>
          <w:sz w:val="28"/>
          <w:szCs w:val="28"/>
          <w:lang w:val="en-US"/>
        </w:rPr>
        <w:t>https://www.dol.gov/</w:t>
      </w:r>
      <w:r>
        <w:fldChar w:fldCharType="end"/>
      </w:r>
      <w:r>
        <w:rPr>
          <w:rFonts w:ascii="Times New Roman" w:hAnsi="Times New Roman"/>
          <w:sz w:val="28"/>
          <w:szCs w:val="28"/>
          <w:lang w:val="en-US"/>
        </w:rPr>
        <w:t>；（4）商务部（DOC）：下辖国家海洋与大气局，负责海洋环境监测、大气科学研究及海洋生态保护等事务。官方网站：</w:t>
      </w:r>
      <w:r>
        <w:fldChar w:fldCharType="begin"/>
      </w:r>
      <w:r>
        <w:instrText xml:space="preserve">HYPERLINK "https://www.commerce.gov/"</w:instrText>
      </w:r>
      <w:r>
        <w:fldChar w:fldCharType="separate"/>
      </w:r>
      <w:r>
        <w:rPr>
          <w:rStyle w:val="22"/>
          <w:rFonts w:ascii="Times New Roman" w:hAnsi="Times New Roman"/>
          <w:sz w:val="28"/>
          <w:szCs w:val="28"/>
          <w:lang w:val="en-US"/>
        </w:rPr>
        <w:t>https://www.commerce.gov/</w:t>
      </w:r>
      <w:r>
        <w:fldChar w:fldCharType="end"/>
      </w:r>
      <w:r>
        <w:rPr>
          <w:rFonts w:ascii="Times New Roman" w:hAnsi="Times New Roman"/>
          <w:sz w:val="28"/>
          <w:szCs w:val="28"/>
          <w:lang w:val="en-US"/>
        </w:rPr>
        <w:t>。</w:t>
      </w:r>
    </w:p>
    <w:p w14:paraId="234CB12A">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 法律体系概述</w:t>
      </w:r>
    </w:p>
    <w:p w14:paraId="50355E3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美国已构建起覆盖大气、水、土壤、化学品、生态、核安全等领域的完备环境法律体系，核心联邦立法包括：《清洁大气法》（Clean Air Act）、《清洁水法》（Clean Water Act）、《安全饮用水法》（Safe Drinking Water Act）、《综合环境反应、补偿与责任法》（CERCLA，即“超级基金法”）、《有毒物质控制法》（TSCA）、《濒危物种法》（Endangered Species Act）、《国家环境政策法》（NEPA）、《紧急规划与社区知情权法》（EPCRA）、《能源政策法》、《原子能法》、《化学品安全信息、选址安全与燃料管理救济法》、《资源保护与回收法》（RCRA）。</w:t>
      </w:r>
    </w:p>
    <w:p w14:paraId="2A6D3D07">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 重点领域环保合规要求</w:t>
      </w:r>
    </w:p>
    <w:p w14:paraId="3BCAFA7A">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3.1 大气环境保护</w:t>
      </w:r>
    </w:p>
    <w:p w14:paraId="74F7F85A">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3.1.1 《清洁大气法》与国家环境空气质量标准</w:t>
      </w:r>
    </w:p>
    <w:p w14:paraId="67FF935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清洁大气法》是美国大气污染防治的基本法，授权EPA制定全国环境空气质量标准（NAAQS），划定六种标准污染物进行管控，分别为：一氧化碳、臭氧、铅、氮氧化物、硫氧化物及颗粒物。该法同时要求各州制定州实施计划（SIP），落实本辖区空气质量达标要求，确保公众健康与公共福利免受空气污染危害。</w:t>
      </w:r>
    </w:p>
    <w:p w14:paraId="52C3B017">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3.1.2 新源性能标准（NSPS）</w:t>
      </w:r>
    </w:p>
    <w:p w14:paraId="3847537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依据《清洁大气法》，EPA针对新建、改建或重建的固定污染源（包括工业厂房、开采平台、发电设施等）制定了“新源性能标准”（NSPS），按行业分类规定了具体的大气污染物排放限值。</w:t>
      </w:r>
    </w:p>
    <w:p w14:paraId="235B139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NSPS体系庞大，编入《联邦法规汇编》第40编第60部分（40 CFR Part 60），覆盖数十个工业门类，包括但不限于：钢铁生产（电弧炉、氩氧脱碳装置）、制浆造纸、橡胶轮胎制造、玻璃制造、电站锅炉、工业锅炉、水泥制造、石油炼制、天然气加工、有色金属冶炼、化工生产、表面涂装、固体废物焚烧、沥青生产等。企业可通过EPA官网的固定源大气污染专栏查询排放标准的具体限值要求，网址为：</w:t>
      </w:r>
      <w:r>
        <w:fldChar w:fldCharType="begin"/>
      </w:r>
      <w:r>
        <w:instrText xml:space="preserve">HYPERLINK "https://www.epa.gov/stationary-sources-air-pollution/new-source-performance-standards"</w:instrText>
      </w:r>
      <w:r>
        <w:fldChar w:fldCharType="separate"/>
      </w:r>
      <w:r>
        <w:rPr>
          <w:rStyle w:val="22"/>
          <w:rFonts w:ascii="Times New Roman" w:hAnsi="Times New Roman"/>
          <w:sz w:val="28"/>
          <w:szCs w:val="28"/>
          <w:lang w:val="en-US"/>
        </w:rPr>
        <w:t>https://www.epa.gov/stationary-sources-air-pollution/new-source-performance-standards</w:t>
      </w:r>
      <w:r>
        <w:fldChar w:fldCharType="end"/>
      </w:r>
      <w:r>
        <w:rPr>
          <w:rFonts w:ascii="Times New Roman" w:hAnsi="Times New Roman"/>
          <w:sz w:val="28"/>
          <w:szCs w:val="28"/>
          <w:lang w:val="en-US"/>
        </w:rPr>
        <w:t>。</w:t>
      </w:r>
    </w:p>
    <w:p w14:paraId="780C5E20">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3.2 水环境保护</w:t>
      </w:r>
    </w:p>
    <w:p w14:paraId="0D83E7A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清洁水法》确立了美国水污染防治的基本法律框架，规范向水体排放污染物的行为，设定地表水质量标准。EPA据此推行行业废水排放标准体系，针对不同行业、不同污染物制定了具体的排放限值。企业可通过EPA官网的“出水限制指南与标准数据库” （ELG Database）查询具体的废水排放控制要求、适用处理技术及污染物长期排放均值等信息，网址为：</w:t>
      </w:r>
      <w:r>
        <w:fldChar w:fldCharType="begin"/>
      </w:r>
      <w:r>
        <w:instrText xml:space="preserve">HYPERLINK "https://owapps.epa.gov/elg/"</w:instrText>
      </w:r>
      <w:r>
        <w:fldChar w:fldCharType="separate"/>
      </w:r>
      <w:r>
        <w:rPr>
          <w:rStyle w:val="22"/>
          <w:rFonts w:ascii="Times New Roman" w:hAnsi="Times New Roman"/>
          <w:sz w:val="28"/>
          <w:szCs w:val="28"/>
          <w:lang w:val="en-US"/>
        </w:rPr>
        <w:t>https://owapps.epa.gov/elg/</w:t>
      </w:r>
      <w:r>
        <w:fldChar w:fldCharType="end"/>
      </w:r>
      <w:r>
        <w:rPr>
          <w:rFonts w:ascii="Times New Roman" w:hAnsi="Times New Roman"/>
          <w:sz w:val="28"/>
          <w:szCs w:val="28"/>
          <w:lang w:val="en-US"/>
        </w:rPr>
        <w:t>。</w:t>
      </w:r>
    </w:p>
    <w:p w14:paraId="185A355A">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3.3 化学品与有毒物质管理</w:t>
      </w:r>
    </w:p>
    <w:p w14:paraId="57BD8F1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《有毒物质控制法》（TSCA）是美国化学品管理的核心立法，授权EPA对工业化学品的生产、加工、分销、使用及处置进行全生命周期监管，对具有不合理风险的化学品可采取限制、禁止等管控措施。</w:t>
      </w:r>
    </w:p>
    <w:p w14:paraId="1E26630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当前监管重点包括全氟和多氟烷基物质（PFAS）、甲醛等持久性有毒物质。EPA将PFAS列为重点管控化学品类别，持续推进相关评估与规制措施。</w:t>
      </w:r>
    </w:p>
    <w:p w14:paraId="41B2EECC">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3.4 自然资源与生态保护</w:t>
      </w:r>
    </w:p>
    <w:p w14:paraId="087FD25E">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3.4.1 森林资源保护</w:t>
      </w:r>
    </w:p>
    <w:p w14:paraId="2AB613D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农业部林业局负责林地资源的建设、恢复、管理与保护，通过林地促进计划等政策工具，推动林地健康发展、林产品质量提升、野生动植物栖息地改善、退化林地修复及造林成活率提升，保障木材供应与生态服务功能。</w:t>
      </w:r>
    </w:p>
    <w:p w14:paraId="26245269">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3.4.2 濒危物种保护</w:t>
      </w:r>
    </w:p>
    <w:p w14:paraId="5A7A532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濒危物种法》是美国野生动植物保护的核心法律，由内政部鱼类和野生动物局负责制定并更新濒危物种与受威胁物种名录，保护物种及其关键栖息地。企业在美开展项目建设、土地开发等活动时，应当评估项目对列入名录物种及其栖息地的影响。</w:t>
      </w:r>
    </w:p>
    <w:p w14:paraId="21D58E56">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3.5 土地、废物与污染场地治理</w:t>
      </w:r>
    </w:p>
    <w:p w14:paraId="18C23A6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建立了涵盖固体废物管理、危险废物管控、污染场地修复的完整制度体系。《综合环境反应、补偿与责任法》（CERCLA）建立了超级基金机制，用于治理历史遗留污染场地，并确立了严格、连带与溯及既往的责任原则，可能涉及土地收购、企业并购中的潜在环境责任。</w:t>
      </w:r>
    </w:p>
    <w:p w14:paraId="6E4868D9">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 环境应急响应机制</w:t>
      </w:r>
    </w:p>
    <w:p w14:paraId="6AEB335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美国已建立联邦与地方分级联动的环境污染事件应急响应体系。</w:t>
      </w:r>
    </w:p>
    <w:p w14:paraId="5C1D304C">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4.1 地方一级响应</w:t>
      </w:r>
    </w:p>
    <w:p w14:paraId="66D2CD8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发生有害物质泄漏等突发环境事件时，当地警察、消防部门及地方应急管理机构为第一响应力量，负责现场先期处置。</w:t>
      </w:r>
    </w:p>
    <w:p w14:paraId="40232F19">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4.2 国家层面协调</w:t>
      </w:r>
    </w:p>
    <w:p w14:paraId="20D2AC5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联邦政府设立国家响应中心，实行24小时全天候运行，由美国海岸警卫队与海洋科技人员共同值守。接到事件报告后，中心根据事发地点分别通知EPA或海岸警卫队协调员：（1）内陆及内陆河流域污染事件，由EPA协调员负责；（2）海岸线及五大湖区域污染事件，由海岸警卫队协调员负责。</w:t>
      </w:r>
    </w:p>
    <w:p w14:paraId="4D2B8DA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4.3 应急响应职责</w:t>
      </w:r>
    </w:p>
    <w:p w14:paraId="1AE5408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协调员承担事件评估、环境监测、应急援助、行动效果评价等职能，必要时担任现场应急指挥。《综合环境反应、补偿与责任法》对污染事故的处置责任、费用承担及赔偿机制作出了明确规定。</w:t>
      </w:r>
    </w:p>
    <w:p w14:paraId="67E8D86D">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5. 环境影响评价制度</w:t>
      </w:r>
    </w:p>
    <w:p w14:paraId="6AC3AA9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国家环境政策法》（NEPA）是美国环境影响评价制度的法律基础。该法要求联邦机构对“可能对环境产生重大影响的联邦重大行动”进行全面的环境影响评估，包括环境影响报告书（EIS）、环境评估（EA）等不同层级的评价程序。</w:t>
      </w:r>
    </w:p>
    <w:p w14:paraId="6F73FFE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NEPA程序适用于联邦资金资助、联邦许可审批、联邦土地开发等类型的项目。企业在美投资项目若涉及联邦审批或许可，通常需要同步履行NEPA项下的环境评价义务。具体程序要求可通过EPA官网NEPA专栏查询，网址为：</w:t>
      </w:r>
      <w:r>
        <w:fldChar w:fldCharType="begin"/>
      </w:r>
      <w:r>
        <w:instrText xml:space="preserve">HYPERLINK "https://www.epa.gov/nepa/national-environmental-policy-act-review-process"</w:instrText>
      </w:r>
      <w:r>
        <w:fldChar w:fldCharType="separate"/>
      </w:r>
      <w:r>
        <w:rPr>
          <w:rStyle w:val="22"/>
          <w:rFonts w:ascii="Times New Roman" w:hAnsi="Times New Roman"/>
          <w:sz w:val="28"/>
          <w:szCs w:val="28"/>
          <w:lang w:val="en-US"/>
        </w:rPr>
        <w:t>https://www.epa.gov/nepa/national-environmental-policy-act-review-process</w:t>
      </w:r>
      <w:r>
        <w:fldChar w:fldCharType="end"/>
      </w:r>
      <w:r>
        <w:rPr>
          <w:rFonts w:ascii="Times New Roman" w:hAnsi="Times New Roman"/>
          <w:sz w:val="28"/>
          <w:szCs w:val="28"/>
          <w:lang w:val="en-US"/>
        </w:rPr>
        <w:t>。</w:t>
      </w:r>
    </w:p>
    <w:p w14:paraId="502E1338">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6. 环保执法与法律责任</w:t>
      </w:r>
    </w:p>
    <w:p w14:paraId="12A4296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EPA拥有完整的环境执法权，可依法采取民事或刑事执法行动。环境执法实行民事责任与刑事责任并行的责任体系，二者在归责原则、举证标准及制裁方式上存在显著区别。</w:t>
      </w:r>
    </w:p>
    <w:p w14:paraId="3ED4468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6.1 归责原则与举证标准</w:t>
      </w:r>
    </w:p>
    <w:p w14:paraId="70A19BA7">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6.1.1 民事责任</w:t>
      </w:r>
    </w:p>
    <w:p w14:paraId="02DD38E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适用严格责任原则，不以行为人主观过错为要件，只要客观上存在环境违法行为即可构成。举证采用“优势证据”标准，即证明违法事实存在的可能性大于不存在的可能性即可。</w:t>
      </w:r>
    </w:p>
    <w:p w14:paraId="7BDBAFBB">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6.1.2 刑事责任</w:t>
      </w:r>
    </w:p>
    <w:p w14:paraId="35F1884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以行为人主观上的“明知”（knowing）为前提，即行为人知晓构成违法的事实要件且有意识地实施违法行为。举证采用“排除合理怀疑”标准，显著高于民事案件的证明要求。环境刑事犯罪除有毒物质与农药类法规外，一般归类为重罪。</w:t>
      </w:r>
    </w:p>
    <w:p w14:paraId="0E05F991">
      <w:pPr>
        <w:numPr>
          <w:ilvl w:val="1"/>
          <w:numId w:val="20"/>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执法类型</w:t>
      </w:r>
    </w:p>
    <w:p w14:paraId="1643E72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EPA执法行动分为三类：（1）民事行政执法：不经过司法程序，由EPA或州环保部门直接作出，形式包括违法通知、超级基金通知函、责令改正命令等，可附带行政罚款；（2）民事司法执法：由司法部代表EPA向联邦法院提起民事诉讼，适用于拒不遵守法规要求、拒不执行行政命令或拒不承担污染场地治理责任等情形；（3）刑事执法：针对主观故意、情节严重的环境违法行为，由刑事司法程序追究责任。</w:t>
      </w:r>
    </w:p>
    <w:p w14:paraId="460679FC">
      <w:pPr>
        <w:numPr>
          <w:ilvl w:val="1"/>
          <w:numId w:val="20"/>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法律后果</w:t>
      </w:r>
    </w:p>
    <w:p w14:paraId="01829DB4">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6.3.1 民事执法后果</w:t>
      </w:r>
    </w:p>
    <w:p w14:paraId="0AE8BE1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包括达成和解（同意令、同意裁决等）、处以民事罚款、发布禁令（要求整改以恢复合规），以及要求实施补充环境项目等。民事罚款的设置旨在收回违法获得的经济利益，并与违法严重程度相匹配。</w:t>
      </w:r>
    </w:p>
    <w:p w14:paraId="1DD20919">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6.3.2 刑事执法后果</w:t>
      </w:r>
    </w:p>
    <w:p w14:paraId="1DB3C9A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包括处以刑事罚金、判处监禁，以及判令赔偿（如赔付政府清理费用、补偿环境损害、承担受影响人群的医学检测费用等）。</w:t>
      </w:r>
    </w:p>
    <w:p w14:paraId="154BEB64">
      <w:pPr>
        <w:numPr>
          <w:ilvl w:val="2"/>
          <w:numId w:val="2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污染场地治理执法</w:t>
      </w:r>
    </w:p>
    <w:p w14:paraId="1C9223C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通过认定责任方、协商自行治理、责令治理或由责任方承担治理费用等方式，推动污染场地的修复与治理。</w:t>
      </w:r>
    </w:p>
    <w:p w14:paraId="2D72325D">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（五）知识产权与商业秘密保护</w:t>
      </w:r>
    </w:p>
    <w:p w14:paraId="1102DF0F">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 法律体系概述</w:t>
      </w:r>
    </w:p>
    <w:p w14:paraId="3634064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是全球知识产权制度建立较早、体系较为完备的国家，已形成联邦立法与州级规则协同、专门立法与兜底保护互补的法律框架。核心制度涵盖专利、版权、商标、商业秘密四大领域，同时通过反不正当竞争规则为各类知识产权提供补充保护。</w:t>
      </w:r>
    </w:p>
    <w:p w14:paraId="04E26A8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在立法演进方面，为履行世界贸易组织《与贸易有关的知识产权协定》项下义务，美国于1994年12月8日制定《乌拉圭回合协议法》，对多项知识产权法律作出适配性修订。2011年9月16日颁布的《莱希-史密斯美国发明创造法》（AIA），对美国专利制度实施了自1952年以来幅度最大的改革，成为支撑科技创新、强化专利保护的重要立法举措。</w:t>
      </w:r>
    </w:p>
    <w:p w14:paraId="7D1CFE1A">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 专利法律制度</w:t>
      </w:r>
    </w:p>
    <w:p w14:paraId="5C4D1578">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2.1 法律依据</w:t>
      </w:r>
    </w:p>
    <w:p w14:paraId="143D775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美国专利制度的核心法律渊源为《美国法典》第35编（专利法），系统规定了专利权的授予条件、权利范围、效力边界及侵权救济等内容。</w:t>
      </w:r>
    </w:p>
    <w:p w14:paraId="1517D072">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2.2 核心制度改革</w:t>
      </w:r>
    </w:p>
    <w:p w14:paraId="4DA473B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2011年AIA法案对美国专利制度作出结构性调整：（1）改先发明制为先申请制：以专利申请日作为判断权利归属的核心标准，取代此前以发明完成日为准的规则，与全球多数国家的专利制度接轨；（2）优化授权后异议程序：增设授权后重审、双方重审等行政复审机制，为社会公众挑战专利有效性提供多元渠道；（3）调整申请费用机制：大幅减免中小微实体的专利申请、维持等费用，降低创新主体的制度性成本。</w:t>
      </w:r>
    </w:p>
    <w:p w14:paraId="38F80634">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2.3 权利内容与司法救济</w:t>
      </w:r>
    </w:p>
    <w:p w14:paraId="1E12C0C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专利权人依法享有排他性权利，有权禁止任何单位或个人未经许可，为生产经营目的制造、使用、许诺销售、销售或进口其专利产品，或者使用其专利方法以及使用、许诺销售、销售、进口依照该专利方法直接获得的产品。</w:t>
      </w:r>
    </w:p>
    <w:p w14:paraId="507940A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专利权人认为其专利权受到侵害的，可向美国联邦地区法院提起民事诉讼。诉讼过程中，专利权人需举证证明被控侵权技术方案落入专利权利要求的保护范围；被控侵权人通常会对专利的新颖性、创造性、清楚性等方面提出挑战，主张专利无效。</w:t>
      </w:r>
    </w:p>
    <w:p w14:paraId="56B1CAF0">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 版权法律制度</w:t>
      </w:r>
    </w:p>
    <w:p w14:paraId="7DC34096">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3.1 法律依据</w:t>
      </w:r>
    </w:p>
    <w:p w14:paraId="4691ADC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美国版权保护的核心规范为《美国法典》第17编（版权法），适用于文学、音乐、戏剧、美术、视听、计算机软件等领域的原创作品，保护延及思想的表达形式，不延及思想、程序、操作方法本身。</w:t>
      </w:r>
    </w:p>
    <w:p w14:paraId="5DC5A6A7">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3.2 权利与救济</w:t>
      </w:r>
    </w:p>
    <w:p w14:paraId="0297475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版权法明确，版权的法定所有人或实益所有人，有权针对任何侵犯其专有权利的行为向联邦地区法院提起民事诉讼。经审理认定侵权成立的，法院可判令侵权人承担损害赔偿责任，并可根据权利人申请颁发临时或永久禁令，责令停止侵权行为。</w:t>
      </w:r>
    </w:p>
    <w:p w14:paraId="00977819">
      <w:pPr>
        <w:numPr>
          <w:ilvl w:val="1"/>
          <w:numId w:val="22"/>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法定侵权情形</w:t>
      </w:r>
    </w:p>
    <w:p w14:paraId="4DE6F4C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未经版权人许可或合法授权，实施下列任一行为的，构成版权侵权：（1）复制受版权保护的作品；（2）基于原作品创作演绎作品；（3）向公众发行受版权保护作品的复制件或录音制品；（4）公开表演受版权保护的作品；（5）公开展示受版权保护的作品；（6）通过数字音频传输方式向公众传播受版权保护的录音制品。</w:t>
      </w:r>
    </w:p>
    <w:p w14:paraId="30487E4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3.4 登记规则的优化</w:t>
      </w:r>
    </w:p>
    <w:p w14:paraId="68204AC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美国版权自作品创作完成之日起自动产生，版权登记并非取得版权的前提条件，但对美国作品而言，长期以来是权利人提起侵权诉讼的法定前置条件。</w:t>
      </w:r>
    </w:p>
    <w:p w14:paraId="39E23D0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优化知识产权与资源组织法案》对该规则作出调整，适度放宽了司法救济的起诉门槛：若版权登记文件存在偏差，除非该偏差系故意造成，且严重程度足以导致版权局局长拒绝登记，否则应当视为已满足登记要求。法院在审理相关案件时，可就登记争议咨询版权局局长的专业意见，该调整体现了从实质层面保护版权人权益的立法导向。</w:t>
      </w:r>
    </w:p>
    <w:p w14:paraId="374B922D">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 商标与反不正当竞争法律制度</w:t>
      </w:r>
    </w:p>
    <w:p w14:paraId="6933AC60">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4.1 商标法律制度</w:t>
      </w:r>
    </w:p>
    <w:p w14:paraId="7E68CB8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美国联邦商标保护的核心立法是《兰哈姆法》（Lanham Act），其立法目的在于保护商标所有人的专有使用权，防止他人在商业活动中使用相同或近似标识，导致相关公众对商品或服务的来源、关联关系产生混淆、误认。</w:t>
      </w:r>
    </w:p>
    <w:p w14:paraId="155495B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商标权利人主张权利的渠道具有选择性：既可以向联邦地区法院提起商标侵权诉讼，也可以依据各州普通法在州法院主张商标权利。</w:t>
      </w:r>
    </w:p>
    <w:p w14:paraId="68FF8230">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4.2 反不正当竞争制度</w:t>
      </w:r>
    </w:p>
    <w:p w14:paraId="2D3251F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反不正当竞争法是美国知识产权保护体系的重要补充，其适用范围显著宽于单项知识产权专门立法。凡在商业活动中实施足以使公众对产品或服务的来源、品质、关联产生混淆、误导或欺骗的行为，均可能构成不正当竞争，包括假冒标识、虚假宣传、商业诋毁、盗用商业秘密等多种情形。权利人可通过反不正当竞争之诉获得更宽泛的法律保护。</w:t>
      </w:r>
    </w:p>
    <w:p w14:paraId="7E7E509B">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5. 商业秘密保护制度</w:t>
      </w:r>
    </w:p>
    <w:p w14:paraId="4EE74424">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5.1 立法体系</w:t>
      </w:r>
    </w:p>
    <w:p w14:paraId="192E006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商业秘密保护采用联邦与州双轨制模式。州层面，美国统一州法委员会制定的《统一商业秘密法》（UTSA）已被绝大多数州采纳，为各州司法实践提供统一的规范基准；联邦层面，2016年通过的《保护商业秘密法》（DTSA）确立了联邦层面的商业秘密民事诉由，权利人可直接向联邦法院提起诉讼，实现了商业秘密保护的联邦化。</w:t>
      </w:r>
    </w:p>
    <w:p w14:paraId="14D25BC4">
      <w:pPr>
        <w:numPr>
          <w:ilvl w:val="1"/>
          <w:numId w:val="23"/>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商业秘密的构成要件</w:t>
      </w:r>
    </w:p>
    <w:p w14:paraId="65173AB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商业秘密是指不为公众所知悉、具有实际或潜在商业价值，且权利人已采取合理保密措施的技术信息、经营信息等商业信息。受法律保护的商业秘密应当同时满足三项要件：（1）秘密性：信息不为相关领域的公众普遍知悉，且通过正当途径无法轻易获取；（2）价值性：信息因处于保密状态而具有独立的商业价值，能够为权利人带来竞争优势；（3）保密性：权利人已根据信息的性质与价值，采取了与之相匹配的合理保密措施。</w:t>
      </w:r>
    </w:p>
    <w:p w14:paraId="4733F6B0">
      <w:pPr>
        <w:numPr>
          <w:ilvl w:val="1"/>
          <w:numId w:val="23"/>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侵权行为认定</w:t>
      </w:r>
    </w:p>
    <w:p w14:paraId="2F8B9BF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商业秘密侵权的核心形态为“盗用”，即行为人通过窃取、贿赂、欺诈、电子入侵、违反保密义务等不正当手段获取、披露或使用他人的商业秘密。</w:t>
      </w:r>
    </w:p>
    <w:p w14:paraId="19EB77B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与专利侵权适用无过错责任原则不同，商业秘密侵权认定要求权利人证明侵权人主观上明知或者应知其获取、使用、披露的信息属于他人的商业秘密。若行为人通过自行研发、反向工程等合法途径获得相同信息，则不构成商业秘密侵权。</w:t>
      </w:r>
    </w:p>
    <w:p w14:paraId="795CCCFE">
      <w:pPr>
        <w:numPr>
          <w:ilvl w:val="1"/>
          <w:numId w:val="23"/>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救济途径</w:t>
      </w:r>
    </w:p>
    <w:p w14:paraId="783135D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商业秘密权利人认为其合法权益受到侵害的，可根据案件管辖、案件标的等具体情况，选择向州法院依据各州商业秘密法提起诉讼，或向联邦法院依据DTSA提起诉讼，主张损害赔偿、禁令等民事救济。</w:t>
      </w:r>
    </w:p>
    <w:p w14:paraId="12EB65D4">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6. 知识产权诉讼的程序特征</w:t>
      </w:r>
    </w:p>
    <w:p w14:paraId="6BAE3F1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美国民事诉讼中的证据开示（Discovery）制度，是知识产权诉讼区别于多数其他国家的显著程序特征，对案件进程与结果具有决定性影响。</w:t>
      </w:r>
    </w:p>
    <w:p w14:paraId="16B6733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证据开示是民事诉讼审前阶段的核心程序，当事人及其代理律师可通过文件出示请求、书面质询、宣誓作证、要求自认等多种方式，强制对方当事人披露与案件事实相关的全部证据。该制度实行全面披露原则，当事人不仅需要提交对己方有利的证据，也必须提交对己方不利的证据，旨在最大限度地发现案件事实。</w:t>
      </w:r>
    </w:p>
    <w:p w14:paraId="706E477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由于证据开示程序能够在庭审前充分披露双方证据与案件事实，当事人通常能够对诉讼结果形成较为稳定的预判。因此，美国知识产权民事诉讼中，绝大多数案件在庭审前通过和解、撤诉等方式结案，最终进入实体审理并由法院作出判决的案件占比较低。</w:t>
      </w:r>
    </w:p>
    <w:p w14:paraId="51B87533">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7. 知识产权侵权的法律责任</w:t>
      </w:r>
    </w:p>
    <w:p w14:paraId="2C74FEC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美国针对知识产权侵权行为构建了民事责任与刑事责任并行的责任体系。</w:t>
      </w:r>
    </w:p>
    <w:p w14:paraId="1F5E8BDB">
      <w:pPr>
        <w:numPr>
          <w:ilvl w:val="1"/>
          <w:numId w:val="24"/>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民事责任</w:t>
      </w:r>
    </w:p>
    <w:p w14:paraId="0928248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民事救济是知识产权侵权最主要的责任形式，核心包括损害赔偿与禁令两类：（1）损害赔偿：法院可判令侵权人赔偿权利人因侵权所遭受的实际损失，或判令返还侵权人因侵权所获得的利润；在特定案件中，也可根据法律规定适用法定赔偿；（2）禁令救济：法院可根据案件具体情况，颁发临时禁令、初步禁令或永久禁令，责令侵权人停止实施侵权行为，防止损害的扩大或持续发生。</w:t>
      </w:r>
    </w:p>
    <w:p w14:paraId="640F26D0">
      <w:pPr>
        <w:numPr>
          <w:ilvl w:val="1"/>
          <w:numId w:val="24"/>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刑事责任</w:t>
      </w:r>
    </w:p>
    <w:p w14:paraId="3450E17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对于主观恶意明显、情节严重的知识产权侵权行为，美国刑法规定了相应的刑事处罚，主要适用情形包括：销售假冒注册商标的商品或服务、严重的故意版权侵权、假冒专利、盗窃商业秘密等。刑事处罚的种类包括罚金与监禁，具体裁量根据侵权行为的性质、情节、违法所得数额及社会危害程度确定。</w:t>
      </w:r>
    </w:p>
    <w:p w14:paraId="1DE74FC7">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（六）数据安全与隐私合规</w:t>
      </w:r>
    </w:p>
    <w:p w14:paraId="4DEC5730">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 法律体系概述</w:t>
      </w:r>
    </w:p>
    <w:p w14:paraId="7ED9BABA">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1.1 联邦层面</w:t>
      </w:r>
    </w:p>
    <w:p w14:paraId="01DD802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联邦层面尚未制定一部全面适用于所有行业和所有数据处理者的综合性个人信息保护法。美国联邦数据隐私立法呈现“行业分散+专门领域”的特点，即针对特定行业（如医疗健康、金融服务）或特定数据类型（如儿童个人信息）分别制定专门法律，由不同的联邦机构负责执法。</w:t>
      </w:r>
    </w:p>
    <w:p w14:paraId="298A71D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在联邦层面，与企业数据安全与隐私合规密切相关的主要法律包括：规制联邦政府机构个人信息处理的《隐私权法》、作为联邦贸易委员会（FTC）广泛执法权基础的《联邦贸易委员会法》第5条、针对医疗健康信息的《健康保险流通与责任法案》（HIPAA）、针对金融机构客户信息的《金融服务现代化法案》（GLBA）、针对13岁以下儿童在线隐私的《儿童在线隐私保护法案》（COPPA），以及2024年底发布、2025年生效的基于国家安全的敏感数据跨境传输管制规则（即《14117最终规则》）。</w:t>
      </w:r>
    </w:p>
    <w:p w14:paraId="3F3E5A37">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1.2 州层面</w:t>
      </w:r>
    </w:p>
    <w:p w14:paraId="5617CC4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近年来，美国各州在数据隐私立法领域进展迅速。截至2026年，已有十余个州制定并实施了综合性消费者隐私法，其中以加利福尼亚州《加州消费者隐私法》（CCPA，后经《加州隐私权法案》CPRA修订）最具代表性和影响力。弗吉尼亚州、科罗拉多州、康涅狄格州、犹他州、得克萨斯州、俄勒冈州、佛罗里达州等亦相继出台综合隐私法，形成了覆盖美国主要经济区域的州级数据保护网络。</w:t>
      </w:r>
    </w:p>
    <w:p w14:paraId="6A052AB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各州法律在适用门槛、消费者权利、数据处理者义务及执法机制等方面存在差异，企业在美经营应当根据业务覆盖的州域分别评估合规义务。本部分将重点阐述联邦层面的专门法规。</w:t>
      </w:r>
    </w:p>
    <w:p w14:paraId="6343B326">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 联邦数据隐私与安全法规</w:t>
      </w:r>
    </w:p>
    <w:p w14:paraId="373C9365">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2.1 《联邦贸易委员会法》第5条</w:t>
      </w:r>
    </w:p>
    <w:p w14:paraId="29EF545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联邦贸易委员会法》于1914年9月26日由美国国会通过，同年由威尔逊总统签署生效，并于1915年3月正式生效。该法本身并未设立专门的数据合规条款，但其第5条规定，商业中的不公平或欺骗性行为或做法均属违法。FTC依据此条宽泛授权，将其广泛应用于数据保护领域，有权对企业不公平或欺骗性的数据处理行为提起执法诉讼。</w:t>
      </w:r>
    </w:p>
    <w:p w14:paraId="5D82A45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FTC在数据安全与隐私领域的主要监管内容包括：（1）数据安全义务：企业有义务维护与其所拥有的数据性质相适应的安全措施。若企业未能履行合理的数据安全保护义务，导致数据泄露或侵犯消费者隐私，FTC可以依据该法追究企业的责任；（2）隐私承诺的兑现：若企业明确或暗示地作出了隐私承诺，则必须遵守这些承诺。例如，企业不得在未告知用户的情况下，将用户为账户安全而提供的个人信息用于其他目的，或向广告商定向推送；（3）配套规则的执行：FTC还可依据《儿童在线隐私保护法》《公平信用报告法》和《电话销售规则》等法律，对违反相关规定的数据处理行为进行罚款和处罚。</w:t>
      </w:r>
    </w:p>
    <w:p w14:paraId="77E722D9">
      <w:pPr>
        <w:spacing w:before="120" w:beforeLines="50" w:after="120" w:afterLines="50" w:line="360" w:lineRule="auto"/>
        <w:ind w:firstLine="562" w:firstLineChars="200"/>
        <w:jc w:val="both"/>
        <w:rPr>
          <w:rFonts w:ascii="Times New Roman" w:hAnsi="Times New Roman"/>
          <w:sz w:val="28"/>
          <w:szCs w:val="28"/>
          <w:lang w:val="en-US"/>
        </w:rPr>
      </w:pPr>
      <w:r>
        <w:rPr>
          <w:rFonts w:ascii="Times New Roman" w:hAnsi="Times New Roman"/>
          <w:b/>
          <w:bCs/>
          <w:sz w:val="28"/>
          <w:szCs w:val="28"/>
          <w:lang w:val="en-US"/>
        </w:rPr>
        <w:t>实务提示：</w:t>
      </w:r>
      <w:r>
        <w:rPr>
          <w:rFonts w:ascii="Times New Roman" w:hAnsi="Times New Roman"/>
          <w:sz w:val="28"/>
          <w:szCs w:val="28"/>
          <w:lang w:val="en-US"/>
        </w:rPr>
        <w:t>FTC第5条是美国联邦层面适用范围最广的数据隐私执法依据，不区分行业，几乎所有在美从事商业活动的企业均受其约束。企业的隐私政策、用户协议及公开声明中的任何承诺，均可能成为FTC认定“欺骗性行为”的依据。企业应当确保其隐私声明与实际数据处理行为保持一致。</w:t>
      </w:r>
    </w:p>
    <w:p w14:paraId="7930D417">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2.2 《健康保险流通与责任法案》（HIPAA）</w:t>
      </w:r>
    </w:p>
    <w:p w14:paraId="614580E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《健康保险流通与责任法案》中的隐私规则（Privacy Rule）和安全规则（Security Rule）分别于2003年和2025年生效，是美国规制受保护健康信息（PHI）的核心联邦法律。</w:t>
      </w:r>
    </w:p>
    <w:p w14:paraId="426ECBD9">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2.2.1 隐私规则（Privacy Rule）</w:t>
      </w:r>
    </w:p>
    <w:p w14:paraId="2F8F2AE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受保护的健康信息（PHI）：指由适用主体或其商业伙伴持有或传输的、以口头、书面和电子等任何形式或媒体存在的可识别的个人健康信息，包括个人过去、当前和未来的生理和心理健康状况、医疗护理状况及与医疗护理相关的支付信息等。</w:t>
      </w:r>
    </w:p>
    <w:p w14:paraId="226EEA4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适用主体（CE）：包括医疗健康服务提供方、支付方和数据清洗公司等。此外，商业伙伴（BA）也受相关准则约束。商业伙伴是指通过CE获得患者PHI的第三方机构。</w:t>
      </w:r>
    </w:p>
    <w:p w14:paraId="141E0B9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患者权利：患者拥有限制个人信息使用权、申请获取个人信息的权利、更正权、个人信息使用情况知情权等。在首次使用PHI之前，必须告知患者本人，通知内容包括使用和披露PHI的方式、患者的权利以及CE的法律责任等。</w:t>
      </w:r>
    </w:p>
    <w:p w14:paraId="5FAEA3D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使用和披露的规定：CE在一些情况下无需患者同意授权即可使用和披露PHI，如法律规定、政府特殊需要、劳工保险、健康监督和公共健康活动等。但对于某些特殊情况，如使用心理诊断记录或利用患者PHI获取经济利益时，则需要患者进行书面的特殊授权。</w:t>
      </w:r>
    </w:p>
    <w:p w14:paraId="49D0A46F">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2.2.2 安全规则（Security Rule）</w:t>
      </w:r>
    </w:p>
    <w:p w14:paraId="6440FFA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安全规则要求涵盖实体采取合理安全的技术和物理措施来保护电子受保护健康信息（ePHI），包括访问控制、传输加密、审计控制、完整性校验等。</w:t>
      </w:r>
    </w:p>
    <w:p w14:paraId="2C9D8962">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2.3 《儿童在线隐私保护法案》（COPPA）及2025年修订</w:t>
      </w:r>
    </w:p>
    <w:p w14:paraId="32AC3FE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《儿童在线隐私保护法案》（COPPA）由美国国会于1998年颁布，1999年11月3日生效。FTC于2000年颁布了COPPA规则（初始规则），并于2013年发布了该规则的最终修正案，于2013年7月1日生效。</w:t>
      </w:r>
    </w:p>
    <w:p w14:paraId="151C6FD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2025年1月16日，FTC全票通过了COPPA规则的全面修订方案，这是自2013年以来该规则的首次重大修订，修订后规则于2025年6月23日生效。此次修订的核心目标是限制企业对儿童数据的商业化利用，强化父母对儿童数据的控制权。</w:t>
      </w:r>
    </w:p>
    <w:p w14:paraId="7EFA51CE">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2.3.1 适用范围</w:t>
      </w:r>
    </w:p>
    <w:p w14:paraId="6421447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COPPA适用于面向13岁以下儿童的商业网站和在线服务运营商，包括移动应用程序和物联网设备等，以及那些实际知情地收集13岁以下儿童个人信息的服务运营商。</w:t>
      </w:r>
    </w:p>
    <w:p w14:paraId="6B4C9A84">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2.3.2 通知义务</w:t>
      </w:r>
    </w:p>
    <w:p w14:paraId="74D09B8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网站管理者和在线服务提供商必须向家长提供清晰、明确的通知，告知其信息收集、使用和披露的实践，包括收集的信息类型、使用方式、共享对象等。</w:t>
      </w:r>
    </w:p>
    <w:p w14:paraId="01EAB740">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2.3.3 家长同意</w:t>
      </w:r>
    </w:p>
    <w:p w14:paraId="2484D0D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在收集13岁以下儿童的个人信息前，必须获得可验证的家长同意。验证方式可以包括传真、信件、免费电话、信用卡认证、数字识别或设密码的电子邮箱等。</w:t>
      </w:r>
    </w:p>
    <w:p w14:paraId="164BAF1B">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2.3.4 儿童个人信息的定义</w:t>
      </w:r>
    </w:p>
    <w:p w14:paraId="70896CB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包括全名、家庭住址、在线联系信息、电话号码、社会保障号码、永久性标识符（如cookie号码、IP地址等）、包含儿童图像或声音的照片、视频或音频文件、地理位置信息，以及与上述标识符之一结合的有关该儿童或其家长的其他信息。</w:t>
      </w:r>
    </w:p>
    <w:p w14:paraId="631D3E8A">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2.3.5 家长的权利</w:t>
      </w:r>
    </w:p>
    <w:p w14:paraId="73F510A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家长有权访问、修改或删除其子女的个人信息，也有权拒绝进一步收集或使用其子女的个人信息。</w:t>
      </w:r>
    </w:p>
    <w:p w14:paraId="1B8D567A">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2.3.6 数据安全</w:t>
      </w:r>
    </w:p>
    <w:p w14:paraId="183B3E9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运营者必须采取合理的措施来保护儿童个人信息的安全和保密，防止信息被未经授权的访问、使用或披露。</w:t>
      </w:r>
    </w:p>
    <w:p w14:paraId="33DD108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2.3.7 例外情况</w:t>
      </w:r>
    </w:p>
    <w:p w14:paraId="42CF030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在不经儿童父母同意的情况下，允许儿童通过电子邮件进行提问，允许儿童获取线上即时信息，但需要通知其父母有权取消这些信息，以及允许儿童从事联邦贸易委员会认为的其他必要活动。</w:t>
      </w:r>
    </w:p>
    <w:p w14:paraId="1AB4C990">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2.4 《14117最终规则》</w:t>
      </w:r>
    </w:p>
    <w:p w14:paraId="24A569D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14117最终规则》是美国司法部依据第14117号行政令《防止关注国家获取美国人的批量敏感个人数据和美国政府相关数据》制定的配套实施规则。该最终规则于2024年12月27日由美国司法部发布，2025年1月8日在美国《联邦公报》上公布，大部分条款于2025年4月8日正式生效，适用于美国主体参与受限制交易的尽职调查与审计要求则于2025年10月6日生效。该规则是美国首部基于国家安全对个人数据跨境传输实施管制的联邦法规，对中国企业具有重大合规影响。</w:t>
      </w:r>
    </w:p>
    <w:p w14:paraId="78DB00E0">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2.4.1 关注国家与受限制主体</w:t>
      </w:r>
    </w:p>
    <w:p w14:paraId="04BD770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明确将以下国家列为“关注国家”（countries of concern）：中国（包括香港和澳门）、古巴、伊朗、朝鲜、俄罗斯和委内瑞拉。与上述国家的政府、实体或个人进行的特定数据交易受到限制或禁止。</w:t>
      </w:r>
    </w:p>
    <w:p w14:paraId="738D1A4A">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2.4.2 数据交易分类及要求</w:t>
      </w:r>
    </w:p>
    <w:p w14:paraId="073690A8">
      <w:pPr>
        <w:spacing w:before="120" w:beforeLines="50" w:after="120" w:afterLines="50" w:line="360" w:lineRule="auto"/>
        <w:ind w:firstLine="560" w:firstLineChars="200"/>
        <w:jc w:val="both"/>
        <w:rPr>
          <w:rFonts w:ascii="Times New Roman" w:hAnsi="Times New Roman"/>
          <w:b/>
          <w:bCs/>
          <w:sz w:val="28"/>
          <w:szCs w:val="28"/>
          <w:lang w:val="en-US"/>
        </w:rPr>
      </w:pPr>
      <w:r>
        <w:rPr>
          <w:rFonts w:ascii="Times New Roman" w:hAnsi="Times New Roman"/>
          <w:sz w:val="28"/>
          <w:szCs w:val="28"/>
          <w:lang w:val="en-US"/>
        </w:rPr>
        <w:t>禁止交易：美国实体不得参与涉及关注国家或受限人员获取任何政府相关数据或大量美国敏感个人数据的数据经纪、供应商协议、雇佣协议以及投资协议等禁止交易。一旦接触相关邀约，尤其涉及数据经纪交易类，需14天内向司法部报告。</w:t>
      </w:r>
    </w:p>
    <w:p w14:paraId="5358359A">
      <w:pPr>
        <w:spacing w:before="120" w:beforeLines="50" w:after="120" w:afterLines="50" w:line="360" w:lineRule="auto"/>
        <w:ind w:firstLine="560" w:firstLineChars="200"/>
        <w:jc w:val="both"/>
        <w:rPr>
          <w:rFonts w:ascii="Times New Roman" w:hAnsi="Times New Roman"/>
          <w:b/>
          <w:bCs/>
          <w:sz w:val="28"/>
          <w:szCs w:val="28"/>
          <w:lang w:val="en-US"/>
        </w:rPr>
      </w:pPr>
      <w:r>
        <w:rPr>
          <w:rFonts w:ascii="Times New Roman" w:hAnsi="Times New Roman"/>
          <w:sz w:val="28"/>
          <w:szCs w:val="28"/>
          <w:lang w:val="en-US"/>
        </w:rPr>
        <w:t>限制交易：受限交易需建立书面的数据安全计划（DSP），并满足美国国土安全部网络与基础设施安全局（CISA）设定的网络安全与数据保护要求。数据保护需按照CISA安全要求落实数据、系统及组织层面安全措施，且由独立审计机构进行年度审计。若美国主体25%及以上股份由受关注国家持有，受限交易涉及云服务，还需履行年度报告义务。</w:t>
      </w:r>
    </w:p>
    <w:p w14:paraId="7A0D341A">
      <w:pPr>
        <w:spacing w:before="120" w:beforeLines="50" w:after="120" w:afterLines="50" w:line="360" w:lineRule="auto"/>
        <w:ind w:firstLine="560" w:firstLineChars="200"/>
        <w:jc w:val="both"/>
        <w:rPr>
          <w:rFonts w:ascii="Times New Roman" w:hAnsi="Times New Roman"/>
          <w:b/>
          <w:bCs/>
          <w:sz w:val="28"/>
          <w:szCs w:val="28"/>
          <w:lang w:val="en-US"/>
        </w:rPr>
      </w:pPr>
      <w:r>
        <w:rPr>
          <w:rFonts w:ascii="Times New Roman" w:hAnsi="Times New Roman"/>
          <w:sz w:val="28"/>
          <w:szCs w:val="28"/>
          <w:lang w:val="en-US"/>
        </w:rPr>
        <w:t>豁免交易：从事被豁免的数据交易的美国主体，仍需履行“资料留存备查义务”和“拒绝交易义务”等义务。如从事药品、生物制药、医疗器械授权交易有额外的资料留存义务，需对所有豁免交易进行详细记录，并将相关记录保留10年备查。</w:t>
      </w:r>
    </w:p>
    <w:p w14:paraId="6794BD82">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2.4.3 敏感数据类别</w:t>
      </w:r>
    </w:p>
    <w:p w14:paraId="50370C0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受限制数据包括涉及美国人的敏感个人数据和与美国政府相关的数据。敏感个人数据涵盖个人识别符信息、精准地理位置数据、生物识别信息、人体“组学”数据、个人健康数据、个人财务数据等。</w:t>
      </w:r>
    </w:p>
    <w:p w14:paraId="6AD44BCA">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2.4.4 报告义务</w:t>
      </w:r>
    </w:p>
    <w:p w14:paraId="6D6C84E2">
      <w:pPr>
        <w:spacing w:before="120" w:beforeLines="50" w:after="120" w:afterLines="50" w:line="360" w:lineRule="auto"/>
        <w:ind w:firstLine="560" w:firstLineChars="200"/>
        <w:jc w:val="both"/>
        <w:rPr>
          <w:rFonts w:ascii="Times New Roman" w:hAnsi="Times New Roman"/>
          <w:b/>
          <w:bCs/>
          <w:sz w:val="28"/>
          <w:szCs w:val="28"/>
          <w:lang w:val="en-US"/>
        </w:rPr>
      </w:pPr>
      <w:r>
        <w:rPr>
          <w:rFonts w:ascii="Times New Roman" w:hAnsi="Times New Roman"/>
          <w:sz w:val="28"/>
          <w:szCs w:val="28"/>
          <w:lang w:val="en-US"/>
        </w:rPr>
        <w:t>年度报告：从事“云计算服务”相关的限制性交易，且由受关注国家及其公司直接或间接持股25%或以上的美国主体，应在每年3月1日前提交上年度数据交易报告，内容包括参与受限交易的美国主体信息、数据交易日期、涉及的数据类型和数量、数据传输方式、交易参与方信息等。</w:t>
      </w:r>
    </w:p>
    <w:p w14:paraId="7732BFB8">
      <w:pPr>
        <w:spacing w:before="120" w:beforeLines="50" w:after="120" w:afterLines="50" w:line="360" w:lineRule="auto"/>
        <w:ind w:firstLine="560" w:firstLineChars="200"/>
        <w:jc w:val="both"/>
        <w:rPr>
          <w:rFonts w:ascii="Times New Roman" w:hAnsi="Times New Roman"/>
          <w:b/>
          <w:bCs/>
          <w:sz w:val="28"/>
          <w:szCs w:val="28"/>
          <w:lang w:val="en-US"/>
        </w:rPr>
      </w:pPr>
      <w:r>
        <w:rPr>
          <w:rFonts w:ascii="Times New Roman" w:hAnsi="Times New Roman"/>
          <w:sz w:val="28"/>
          <w:szCs w:val="28"/>
          <w:lang w:val="en-US"/>
        </w:rPr>
        <w:t>被拒绝交易报告：明确拒绝了他人提出的“被禁止的数据经纪交易”的美国实体，应在拒绝后14天内提交报告，内容包括拒绝禁止交易的美国人信息、交易被拒日期、涉及的数据信息、交易参与方信息等。</w:t>
      </w:r>
    </w:p>
    <w:p w14:paraId="70F1EC27">
      <w:pPr>
        <w:spacing w:before="120" w:beforeLines="50" w:after="120" w:afterLines="50" w:line="360" w:lineRule="auto"/>
        <w:ind w:firstLine="560" w:firstLineChars="200"/>
        <w:jc w:val="both"/>
        <w:rPr>
          <w:rFonts w:ascii="Times New Roman" w:hAnsi="Times New Roman"/>
          <w:b/>
          <w:bCs/>
          <w:sz w:val="28"/>
          <w:szCs w:val="28"/>
          <w:lang w:val="en-US"/>
        </w:rPr>
      </w:pPr>
      <w:r>
        <w:rPr>
          <w:rFonts w:ascii="Times New Roman" w:hAnsi="Times New Roman"/>
          <w:sz w:val="28"/>
          <w:szCs w:val="28"/>
          <w:lang w:val="en-US"/>
        </w:rPr>
        <w:t>违规交易报告：在美国人与非受限主体开展数据经纪合作时，知晓或怀疑该非受限主体违反合同约定与受关注国家或受限人员开展提供或转售数据的行为，应在知晓或者怀疑违约之日起14天内提交报告。</w:t>
      </w:r>
    </w:p>
    <w:p w14:paraId="0BFD8D2E">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2.4.5 罚则</w:t>
      </w:r>
    </w:p>
    <w:p w14:paraId="191DDEA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对于一般的违规，违规者将被处以不超过368,136美元或违规行为金额的两倍的民事罚款，两者取其高。对于蓄意违规、协助或教唆违规的，对违规主体处以不超过100万美元的刑事罚款或监禁20年，或两者并罚。</w:t>
      </w:r>
    </w:p>
    <w:p w14:paraId="29F458D5">
      <w:pPr>
        <w:spacing w:before="120" w:beforeLines="50" w:after="120" w:afterLines="50" w:line="360" w:lineRule="auto"/>
        <w:ind w:firstLine="562" w:firstLineChars="200"/>
        <w:jc w:val="both"/>
        <w:rPr>
          <w:rFonts w:ascii="Times New Roman" w:hAnsi="Times New Roman"/>
          <w:sz w:val="28"/>
          <w:szCs w:val="28"/>
          <w:lang w:val="en-US"/>
        </w:rPr>
      </w:pPr>
      <w:r>
        <w:rPr>
          <w:rFonts w:ascii="Times New Roman" w:hAnsi="Times New Roman"/>
          <w:b/>
          <w:bCs/>
          <w:sz w:val="28"/>
          <w:szCs w:val="28"/>
          <w:lang w:val="en-US"/>
        </w:rPr>
        <w:t>实务提示：</w:t>
      </w:r>
      <w:r>
        <w:rPr>
          <w:rFonts w:ascii="Times New Roman" w:hAnsi="Times New Roman"/>
          <w:sz w:val="28"/>
          <w:szCs w:val="28"/>
          <w:lang w:val="en-US"/>
        </w:rPr>
        <w:t>《14117最终规则》将中国（包括香港和澳门）明确列为关注国家，中国企业在美收集、持有或处理美国人敏感个人数据时，向中国境内传输或与中国关联方共享此类数据将面临严格限制甚至禁止。</w:t>
      </w:r>
    </w:p>
    <w:p w14:paraId="1E00AFE2">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（七）反商业贿赂合规</w:t>
      </w:r>
    </w:p>
    <w:p w14:paraId="1B68360A">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 法律体系概述</w:t>
      </w:r>
    </w:p>
    <w:p w14:paraId="07EDD54F">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1.1 联邦层面</w:t>
      </w:r>
    </w:p>
    <w:p w14:paraId="4A1CE99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反商业贿赂法律体系呈现联邦立法与州立法并行的二元结构。在联邦层面，规制跨国商业贿赂的核心法律为《反海外腐败法》（FCPA）。该法于1977年由美国国会制定，其立法背景是20世纪70年代揭露的大量美国公司向外国政府官员支付贿赂以获取商业利益的丑闻。FCPA的立法宗旨在于遏制跨国商业贿赂行为，维护公平竞争的市场秩序，并通过强化财务披露要求提升上市公司治理透明度。</w:t>
      </w:r>
    </w:p>
    <w:p w14:paraId="523A91B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FCPA由两大核心条款群构成：其一为反贿赂条款（Anti-Bribery Provisions），禁止向外国官员行贿；其二为会计条款（Accounting Provisions），要求证券发行人保持准确的账簿记录并建立充分的内部控制体系。两部分条款相互配合，分别从行为禁止与财务治理两个维度构建反贿赂法律防线。</w:t>
      </w:r>
    </w:p>
    <w:p w14:paraId="2BF5BC8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1.2 州层面</w:t>
      </w:r>
    </w:p>
    <w:p w14:paraId="0D4D673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除联邦立法外，美国各州亦通过单独立法规制商业贿赂行为。各州在贿赂行为的定义、处罚标准及执法机制方面存在差异，企业在美经营应当同时关注经营所在地州的相关立法。部分州（如纽约州、加利福尼亚州）制定了较为完备的反商业贿赂成文法，其适用范围可能涵盖纯粹的州内商业贿赂行为，与FCPA形成互补。</w:t>
      </w:r>
    </w:p>
    <w:p w14:paraId="6D7DBEAF">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 《反海外腐败法》的核心内容</w:t>
      </w:r>
    </w:p>
    <w:p w14:paraId="0C093CA2">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2.1 适用主体范围</w:t>
      </w:r>
    </w:p>
    <w:p w14:paraId="5967CC7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FCPA反贿赂条款的适用主体涵盖以下三类：</w:t>
      </w:r>
    </w:p>
    <w:p w14:paraId="7E1C0B9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第一类：证券发行人（issuer）及其相关人员。证券发行人是指其证券依据《美国证券交易法》在美国证券交易委员会登记、或在美国全国性证券交易所挂牌交易的公司。该类主体的董事、高级管理人员、雇员、代理人及股东在代表公司行事时，同样受FCPA约束。中国企业若在美国资本市场上市（包括通过存托凭证等方式间接上市），即属于此类主体；</w:t>
      </w:r>
    </w:p>
    <w:p w14:paraId="14F533D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第二类：美国国内相关方（domestic concern）及其相关人员。国内相关方包括具有美国公民身份的个人或公司、合伙企业、协会、股份公司、商业信托、非法人组织及个人独资企业等实体，其主要经营场所位于美国境内，或依美国联邦或各州、属地法律设立；</w:t>
      </w:r>
    </w:p>
    <w:p w14:paraId="1DD36BF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第三类：在美国境内实施贿赂行为的外国个人或实体。对于不属于前两类的外国个人或实体，若其在美国境内亲自或通过代理人实施了向外国官员行贿的行为，FCPA亦对其具有管辖权。这一规定将FCPA的管辖范围延伸至在美国领土内发生任何实质性步骤的外国主体。</w:t>
      </w:r>
    </w:p>
    <w:p w14:paraId="52E0E167">
      <w:pPr>
        <w:spacing w:before="120" w:beforeLines="50" w:after="120" w:afterLines="50" w:line="360" w:lineRule="auto"/>
        <w:ind w:firstLine="562" w:firstLineChars="200"/>
        <w:jc w:val="both"/>
        <w:rPr>
          <w:rFonts w:ascii="Times New Roman" w:hAnsi="Times New Roman"/>
          <w:sz w:val="28"/>
          <w:szCs w:val="28"/>
          <w:lang w:val="en-US"/>
        </w:rPr>
      </w:pPr>
      <w:r>
        <w:rPr>
          <w:rFonts w:ascii="Times New Roman" w:hAnsi="Times New Roman"/>
          <w:b/>
          <w:bCs/>
          <w:sz w:val="28"/>
          <w:szCs w:val="28"/>
          <w:lang w:val="en-US"/>
        </w:rPr>
        <w:t>实务提示：</w:t>
      </w:r>
      <w:r>
        <w:rPr>
          <w:rFonts w:ascii="Times New Roman" w:hAnsi="Times New Roman"/>
          <w:sz w:val="28"/>
          <w:szCs w:val="28"/>
          <w:lang w:val="en-US"/>
        </w:rPr>
        <w:t>FCPA的域外效力广泛。中国企业即使未在美国上市，但若其在美国境内实施了与贿赂相关的任何行为（如通过美国银行账户转账、在美国境内作出贿赂承诺等），即可能落入FCPA的管辖范围。企业应当对涉美交易环节保持高度警惕。</w:t>
      </w:r>
    </w:p>
    <w:p w14:paraId="183418FE">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2.2 受贿主体范围</w:t>
      </w:r>
    </w:p>
    <w:p w14:paraId="21AF835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FCPA所规制的受贿主体范围十分宽泛，具体包括：（1）外国政府或其任何部门、机构的官员和职员；（2）公共国际组织的官员和职员；（3）在职责范围内为外国政府或其部门、机构、公共国际组织工作的任何人员；（4）外国政党的官员及政治职位候选人；（5）国家拥有或控制的实体（即国有企业）的工作人员，在实践中被视为外国政府机构人员。</w:t>
      </w:r>
    </w:p>
    <w:p w14:paraId="654D995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此外，FCPA还禁止通过第三方或中介间接实施贿赂。若企业明知第三方将向外国官员转交全部或部分贿赂款项，仍向该第三方支付费用，则企业可能因“明知”标准而承担FCPA责任。这里的“明知”不仅包括实际知道，还包括故意忽视（willful blindness）和蓄意不知（conscious disregard）的情形。</w:t>
      </w:r>
    </w:p>
    <w:p w14:paraId="6D013D94">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2.3 禁止行为与构成要件</w:t>
      </w:r>
    </w:p>
    <w:p w14:paraId="63A44AD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FCPA禁止适用主体以腐败意图，直接或通过第三方，向外国官员提供、支付、承诺支付或授权支付任何金钱或有价值的物项。“有价值的物项”不限于现金，还包括礼品、旅行安排、餐饮娱乐、折扣、就业机会、慈善捐赠以及其他任何具有经济价值的利益。</w:t>
      </w:r>
    </w:p>
    <w:p w14:paraId="30D78EC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认定一项行为是否违反FCPA反贿赂条款，需同时满足以下构成要件：（1）贿赂性质。行为人以提供、支付、承诺或馈赠的方式，意图诱使受贿者滥用其公职权力为行为人谋取不当利益。FCPA采用“意图犯”立法模式，不要求贿赂实际完成，亦不要求贿赂目的最终实现。即便受贿对象尚未最终确定，只要行为人具备贿赂意图并实施了相应行为，即可构成违法；（2）主观蓄意。行为人在主观上须具有“蓄意”（willfully）。这一要件要求控方证明行为人主观上具有贿赂意图；（3）商业目的。贿赂行为须具有协助行为人获取或保持业务的商业目的。该要件的认定范围较为宽泛，不仅包括直接获取或维持合同，还包括谋取不正当商业优势，例如通过贿赂获取优惠税收待遇、借助政府行政行为排除竞争对手、规避行政许可或资质要求等。</w:t>
      </w:r>
    </w:p>
    <w:p w14:paraId="588DCB2D">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2.4 会计条款</w:t>
      </w:r>
    </w:p>
    <w:p w14:paraId="52B8577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FCPA的会计条款仅适用于证券发行人，包含两项独立要求：（1）账簿与记录要求。证券发行人应当制作和保存准确、公正地反映其交易和资产处置情况的账簿、记录和账目。这一要求旨在防止企业通过虚假记账掩盖贿赂支出，常见的违规情形包括将贿赂款项伪装为“咨询费”“佣金”“营销费用”等虚假科目入账；（2）内部控制要求。证券发行人应当设计和维护一套充分的内部会计控制系统，以合理保证：交易的执行经过管理层授权；交易被及时、准确地记录；对资产的接触受到适当限制；资产的账面记录与实际资产定期核对。</w:t>
      </w:r>
    </w:p>
    <w:p w14:paraId="05011D9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会计条款的违规不以存在实际贿赂行为为前提。即使企业未实施任何行贿行为，若其账簿记录不准确或内部控制存在重大缺陷，仍可能单独构成FCPA会计条款的违反。在执法实践中，美国证券交易委员会（SEC）大量FCPA案件仅涉及会计条款违规，而未同时指控反贿赂条款。</w:t>
      </w:r>
    </w:p>
    <w:p w14:paraId="16D91920">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2.5 抗辩事由</w:t>
      </w:r>
    </w:p>
    <w:p w14:paraId="21A5B05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FCPA为被诉主体设定了两项法定抗辩事由，举证责任由被诉主体承担：（1）当地法律合法性抗辩。若被诉主体能够证明涉案支付行为依据行为地国的成文法（written law）属于合法行为，则可免除FCPA责任。需要注意的是，该抗辩要求依据的是成文法，而非当地惯例或普遍做法；事实上，极少有国家以成文法明确允许向官员支付商业贿赂；（2）合理正当支出抗辩。若被诉主体能够证明涉案支付是合理且正当的，且直接关系到产品或服务的促销、展示，或属于合同执行或履行的一部分，则可主张抗辩。典型的合法支出包括为外国官员提供与产品演示直接相关的适度差旅、在商业展览中提供的合理餐饮等。该抗辩的适用范围受到严格限制，不得用于掩盖贿赂性质的支出。</w:t>
      </w:r>
    </w:p>
    <w:p w14:paraId="6C6B2A5C">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 归责原则</w:t>
      </w:r>
    </w:p>
    <w:p w14:paraId="6644F81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3.1 雇主责任</w:t>
      </w:r>
    </w:p>
    <w:p w14:paraId="7EED8CB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根据美国法上的雇主责任（respondeat superior）原则，当公司的董事、管理人员、雇员或代理人在其职责范围内行事，且为公司利益而实施了违反FCPA的行为时，应由公司作为被告承担法律责任。这意味着企业不能以“员工个人行为”“未经公司授权”为由免除自身责任，前提是该行为与员工职责相关且旨在为公司谋取利益。</w:t>
      </w:r>
    </w:p>
    <w:p w14:paraId="7A3B97C6">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3.2 母公司责任</w:t>
      </w:r>
    </w:p>
    <w:p w14:paraId="5B3A84B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在跨国企业集团架构下，母公司可能因以下情形对子公司的FCPA违法行为承担责任：其一，母公司直接参与了违法活动的策划、决策或执行；其二，母公司对子公司的违法行为具有充分了解并实际参与或默许。反之，若母公司对子公司的运营保持适当距离，且建立了有效的集团合规体系，则母公司通常不因子公司的独立违法行为而承担责任。</w:t>
      </w:r>
    </w:p>
    <w:p w14:paraId="6F02F93C">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3.3 并购中的责任承继</w:t>
      </w:r>
    </w:p>
    <w:p w14:paraId="602063F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在企业并购交易中，收购方原则上承继被收购方的FCPA违法行为责任。这一规则意味着，即使违法行为发生在并购完成之前，收购方在完成收购后仍可能因被收购方的历史贿赂行为而面临SEC和美国司法部（DOJ）的执法。</w:t>
      </w:r>
    </w:p>
    <w:p w14:paraId="55A6D2D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为鼓励并购中的合规尽职调查，美国执法机构确立了以下实践规则：若收购方在尽职调查过程中发现被收购公司存在FCPA违法行为，及时自愿地向SEC和DOJ披露相关情况，并积极配合调查、采取纠正措施和实施补救方案，则执法机构通常仅追究被收购一方的责任，而不追究收购方的责任。但若并购完成后收购方仍继续实施违法行为，则应由收购方承担全部法律责任。</w:t>
      </w:r>
    </w:p>
    <w:p w14:paraId="7BF27397">
      <w:pPr>
        <w:spacing w:before="120" w:beforeLines="50" w:after="120" w:afterLines="50" w:line="360" w:lineRule="auto"/>
        <w:ind w:firstLine="562" w:firstLineChars="200"/>
        <w:jc w:val="both"/>
        <w:rPr>
          <w:rFonts w:ascii="Times New Roman" w:hAnsi="Times New Roman"/>
          <w:sz w:val="28"/>
          <w:szCs w:val="28"/>
          <w:lang w:val="en-US"/>
        </w:rPr>
      </w:pPr>
      <w:r>
        <w:rPr>
          <w:rFonts w:ascii="Times New Roman" w:hAnsi="Times New Roman"/>
          <w:b/>
          <w:bCs/>
          <w:sz w:val="28"/>
          <w:szCs w:val="28"/>
          <w:lang w:val="en-US"/>
        </w:rPr>
        <w:t>实务提示：</w:t>
      </w:r>
      <w:r>
        <w:rPr>
          <w:rFonts w:ascii="Times New Roman" w:hAnsi="Times New Roman"/>
          <w:sz w:val="28"/>
          <w:szCs w:val="28"/>
          <w:lang w:val="en-US"/>
        </w:rPr>
        <w:t>中国企业在美实施并购时，应当将FCPA合规尽职调查作为交易前置条件，重点审查目标公司的高风险地区业务、第三方代理安排、政府关系支出及账簿记录。发现潜在问题时，应及时评估自愿披露的必要性，并在交易文件中设置适当的陈述保证与赔偿条款。</w:t>
      </w:r>
    </w:p>
    <w:p w14:paraId="1F4955A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 法律责任</w:t>
      </w:r>
    </w:p>
    <w:p w14:paraId="5B66B90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FCPA的法律责任分为民事责任与刑事责任两类，由不同执法机关依职权追究。</w:t>
      </w:r>
    </w:p>
    <w:p w14:paraId="0ED4726C">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4.1 民事责任</w:t>
      </w:r>
    </w:p>
    <w:p w14:paraId="073653E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违反FCPA的公司、组织和个人可被处以最高1万美元的民事罚款。在个人承担民事责任的情况下，其所在公司或雇主不得代为缴纳罚款。此外，SEC在涉及证券发行人的案件中，还可依据《1934年证券交易法》的相关条款寻求更高金额的民事罚款、没收违法所得及判决前利息，并可对相关责任人员实施行业禁入。</w:t>
      </w:r>
    </w:p>
    <w:p w14:paraId="4A3DA760">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4.2 刑事责任</w:t>
      </w:r>
    </w:p>
    <w:p w14:paraId="3A4ADB4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对于故意违反FCPA反贿赂条款的行为，可追究刑事责任：（1）对于公司或其他组织：每项违法行为可处以最高200万美元的刑事罚金；（2）对于个人（包括董事、管理人员、雇员及代理人）：每项违法行为可处以最高10万美元的刑事罚金，或5年以下监禁，或两者并罚。</w:t>
      </w:r>
    </w:p>
    <w:p w14:paraId="64CAFE9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需要特别指出的是，上述罚款金额为FCPA法条规定的法定上限。在执法实践中，DOJ和SEC可依据《联邦量刑指南》及替代性罚款条款，基于违法行为所得收益或损失金额主张更高数额的罚款，实际案件中的处罚金额往往远超法定上限。此外，刑事罚金不得由公司或雇主为个人代缴。</w:t>
      </w:r>
    </w:p>
    <w:p w14:paraId="5A96ECB5">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5. 执法机关与执法动态</w:t>
      </w:r>
    </w:p>
    <w:p w14:paraId="6B03B883">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5.1 执法机关分工</w:t>
      </w:r>
    </w:p>
    <w:p w14:paraId="08CA74D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FCPA由SEC与DOJ联合执法，二者在管辖范围和执法权限上各有分工：</w:t>
      </w:r>
    </w:p>
    <w:p w14:paraId="59F17B0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SEC拥有对证券发行人及其管理人员、董事、职员、代理人、股东违反FCPA反贿赂条款及会计条款的民事执法权。SEC可独立开展调查、提起民事诉讼、处以民事罚款及其他救济措施。</w:t>
      </w:r>
    </w:p>
    <w:p w14:paraId="20099F5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DOJ拥有对美国国内相关方、外国公司及个人违反FCPA反贿赂条款的民事执法权和刑事执法权。DOJ刑事司下属的欺诈科（FCPA Unit）负责具体案件的调查与起诉。</w:t>
      </w:r>
    </w:p>
    <w:p w14:paraId="2C32F113">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两部门均有权决定是否启动调查、采取何种处罚措施、是否提起诉讼以及是否与当事人达成和解协议（即“暂缓起诉协议”或“不起诉协议”）。在涉及证券发行人的案件中，SEC与DOJ通常进行协调，可能同时或分别采取执法行动。</w:t>
      </w:r>
    </w:p>
    <w:p w14:paraId="39573447">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5.2 2025年执法政策重大调整</w:t>
      </w:r>
    </w:p>
    <w:p w14:paraId="617D617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2025年，美国FCPA执法政策经历了重大调整：</w:t>
      </w:r>
    </w:p>
    <w:p w14:paraId="221195C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2025年2月10日，美国总统签署第14209号行政令《暂停执行〈反海外腐败法〉以维护美国经济和国家安全》，指示司法部冻结FCPA相关调查，并开展为期4个月的政策审查。此举在国际商界和法律界引发广泛关注。</w:t>
      </w:r>
    </w:p>
    <w:p w14:paraId="17ABFB4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2025年6月9日，美国司法部发布《〈反海外腐败法〉调查与执法指南》（以下简称 “《指南》”），正式恢复FCPA海外贿赂案件的调查工作。《指南》确立了以下执法优先级和程序要求：（1）优先执法领域：重点关注影响美国公司赢得业务能力的案件、涉及巨额贿赂的案件，以及能源和国防、贩毒集团和有组织犯罪等关键领域的案件；（2）高层级审批要求：所有新开展的FCPA调查或执法行动的启动，必须获得刑事司助理司法部长（或代行该职务的官员）或更高层级司法部官员的授权。这一要求显著提高了FCPA案件的启动门槛，意味着基层检察官不再拥有独立立案的裁量权。</w:t>
      </w:r>
    </w:p>
    <w:p w14:paraId="3BD4135C">
      <w:pPr>
        <w:spacing w:before="120" w:beforeLines="50" w:after="120" w:afterLines="50" w:line="360" w:lineRule="auto"/>
        <w:ind w:firstLine="562" w:firstLineChars="200"/>
        <w:jc w:val="both"/>
        <w:rPr>
          <w:rFonts w:ascii="Times New Roman" w:hAnsi="Times New Roman"/>
          <w:sz w:val="28"/>
          <w:szCs w:val="28"/>
          <w:lang w:val="en-US"/>
        </w:rPr>
      </w:pPr>
      <w:r>
        <w:rPr>
          <w:rFonts w:ascii="Times New Roman" w:hAnsi="Times New Roman"/>
          <w:b/>
          <w:bCs/>
          <w:sz w:val="28"/>
          <w:szCs w:val="28"/>
          <w:lang w:val="en-US"/>
        </w:rPr>
        <w:t>实务提示：</w:t>
      </w:r>
      <w:r>
        <w:rPr>
          <w:rFonts w:ascii="Times New Roman" w:hAnsi="Times New Roman"/>
          <w:sz w:val="28"/>
          <w:szCs w:val="28"/>
          <w:lang w:val="en-US"/>
        </w:rPr>
        <w:t>2025年的执法政策调整并不意味着FCPA已被废除或企业可以放松合规要求。FCPA作为联邦成文法仍然有效，《指南》的发布本身即确认了调查的恢复。当前政策环境下，执法资源向特定高优先级领域集中，涉及能源等领域的中国企业面临的执法风险反而可能上升。企业应当持续保持有效的反贿赂合规体系，不可因短期政策波动而降低合规标准。</w:t>
      </w:r>
    </w:p>
    <w:p w14:paraId="51F78338">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（八）争议解决</w:t>
      </w:r>
    </w:p>
    <w:p w14:paraId="1F71CA2C">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 争议解决的主要途径与法律适用</w:t>
      </w:r>
    </w:p>
    <w:p w14:paraId="6B65B0C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1.1 主要途径概述</w:t>
      </w:r>
    </w:p>
    <w:p w14:paraId="373AD3D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在美国，商事争议的解决呈现多元化格局。当事人既可诉诸联邦或州法院通过诉讼程序获得裁判，亦可选择国际商事仲裁、商事调解等替代性争议解决方式。各类途径在程序保密性、裁决终局性、跨境执行便利性及时间成本等方面各有侧重，企业应当根据交易性质、争议金额、对方当事人所在地及商业关系维护需求等因素，在合同订立阶段作出前瞻性安排。</w:t>
      </w:r>
    </w:p>
    <w:p w14:paraId="66DE0FD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就法律适用而言，美国法体系下充分尊重当事人意思自治。合同当事人可在缔约时协商确定解决争议所适用的准据法，该等法律选择条款在不违反公共政策及强制性规则的前提下，通常将得到法院或仲裁庭的尊重与执行。</w:t>
      </w:r>
    </w:p>
    <w:p w14:paraId="7013579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1.2 适用法律框架</w:t>
      </w:r>
    </w:p>
    <w:p w14:paraId="31133E0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美国商事争议解决的法律体系由联邦立法与州立法共同构成，二者在不同层面发挥规范作用。</w:t>
      </w:r>
    </w:p>
    <w:p w14:paraId="4A40539C">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1.2.1 联邦民事诉讼规则</w:t>
      </w:r>
    </w:p>
    <w:p w14:paraId="20D46E2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联邦民事诉讼规则》（FRCP）是规范美国联邦地区法院民事案件审理程序的统一规则，涵盖起诉、答辩、证据开示、简易判决、庭审及上诉等各阶段。凡属于联邦地区法院管辖范围的商事争议，均应依照该规则推进诉讼程序。</w:t>
      </w:r>
    </w:p>
    <w:p w14:paraId="10937A69">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1.2.2 州商法与《统一商法典》</w:t>
      </w:r>
    </w:p>
    <w:p w14:paraId="04CBBB4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在美国联邦体制下，企业的设立、运营与监管，以及合同的订立、履行与争议解决，主要受各州商法管辖。为协调跨州商业交易中的法律冲突，美国法学会与统一州法委员会联合制定了《统一商法典》（UCC）。目前，UCC已被全部50个州以立法形式采纳（部分州存在局部变通），为货物买卖、票据、担保交易等商事活动提供了相对统一的法律规范。</w:t>
      </w:r>
    </w:p>
    <w:p w14:paraId="16DB6D6E">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1.2.3 联邦仲裁法律框架</w:t>
      </w:r>
    </w:p>
    <w:p w14:paraId="7B01CD0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联邦仲裁法》（FAA，编入《美国法典》第9编）是美国仲裁制度的基石性立法。该法适用于涉及州际贸易或对外贸易的合同中的仲裁条款，联邦法院与各州法院均负有执行该法的义务。FAA确立了仲裁协议的可执行性原则，要求法院尊重当事人将争议提交仲裁的合意。</w:t>
      </w:r>
    </w:p>
    <w:p w14:paraId="0F229A7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需要特别注意的是，FAA第1条设有法定豁免，明确规定该法不适用于海员、铁路雇员以及其他从事州际或对外贸易的工人的雇佣合同。近年来，美国联邦最高法院通过一系列裁判逐步细化了该豁免条款的适用范围，将部分仅从事州内配送环节但货物整体处于跨州运输链条中的劳动者纳入豁免范畴。企业在设计涉及运输及物流行业人员的争议解决条款时，应当充分评估该豁免的影响。</w:t>
      </w:r>
    </w:p>
    <w:p w14:paraId="3D8CD838">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1.2.4 调解法律框架</w:t>
      </w:r>
    </w:p>
    <w:p w14:paraId="5F4FA20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    《统一调解法》（UMA）由统一州法委员会于2001年通过并向各州推荐采纳，旨在为调解程序提供统一的法律框架，核心内容包括调解的适用范围、调解员的中立义务以及调解沟通信息的保密特权等。截至2025年10月，已有包括伊利诺伊州、新泽西州、俄亥俄州、华盛顿州及康涅狄格州在内的13个州及哥伦比亚特区正式采纳UMA，其余各州则通过各自的成文法或判例法规范调解活动。</w:t>
      </w:r>
    </w:p>
    <w:p w14:paraId="0D07BD8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UMA原则上适用于法院指令或当事人自愿启动的各类调解程序，但集体谈判等特定劳资纠纷被明确排除在适用范围之外。</w:t>
      </w:r>
    </w:p>
    <w:p w14:paraId="7CFF062F">
      <w:pPr>
        <w:spacing w:before="120" w:beforeLines="50" w:after="120" w:afterLines="50" w:line="360" w:lineRule="auto"/>
        <w:ind w:firstLine="562" w:firstLineChars="200"/>
        <w:jc w:val="both"/>
        <w:rPr>
          <w:rFonts w:ascii="Times New Roman" w:hAnsi="Times New Roman"/>
          <w:sz w:val="28"/>
          <w:szCs w:val="28"/>
          <w:lang w:val="en-US"/>
        </w:rPr>
      </w:pPr>
      <w:r>
        <w:rPr>
          <w:rFonts w:ascii="Times New Roman" w:hAnsi="Times New Roman"/>
          <w:b/>
          <w:bCs/>
          <w:sz w:val="28"/>
          <w:szCs w:val="28"/>
          <w:lang w:val="en-US"/>
        </w:rPr>
        <w:t>实务提示：</w:t>
      </w:r>
      <w:r>
        <w:rPr>
          <w:rFonts w:ascii="Times New Roman" w:hAnsi="Times New Roman"/>
          <w:sz w:val="28"/>
          <w:szCs w:val="28"/>
          <w:lang w:val="en-US"/>
        </w:rPr>
        <w:t>由于UMA尚未在全美各州统一采纳，企业在选择调解作为争议解决方式时，应当查明合同履行地或争议发生地所在州的具体调解立法，以准确评估调解程序的法律效力及调解协议的可执行性。</w:t>
      </w:r>
    </w:p>
    <w:p w14:paraId="5E9D3BF9">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 仲裁机制</w:t>
      </w:r>
    </w:p>
    <w:p w14:paraId="5112A5E2">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2.1 仲裁的适用条件与基本特征</w:t>
      </w:r>
    </w:p>
    <w:p w14:paraId="5372B48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当事人之间存在有效的仲裁条款或事后达成书面仲裁协议，是启动国际商事仲裁的前提条件。仲裁地点、仲裁机构、仲裁规则及仲裁语言等事项，均可由当事人在仲裁协议中自主约定。当事人亦可约定在第三地进行异地仲裁，以中立化争议解决环境。</w:t>
      </w:r>
    </w:p>
    <w:p w14:paraId="7285832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与法院判决不同，仲裁裁决实行一裁终局制度，当事人不得就裁决实体内容提起上诉。裁决一经作出即对各方当事人产生约束力，这一特征使得仲裁在商业效率与保密性方面具有显著优势，但同时也意味着当事人在仲裁程序中应当充分主张权利，缺乏类似诉讼的上诉纠错机制。</w:t>
      </w:r>
    </w:p>
    <w:p w14:paraId="07063C27">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2.2 国际仲裁裁决的承认与执行</w:t>
      </w:r>
    </w:p>
    <w:p w14:paraId="153E5FB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中国与美国均为《承认及执行外国仲裁裁决公约》（即1958年《纽约公约》）的缔约国。截至2026年，该公约共有172个缔约方，覆盖全球主要贸易经济体。根据《纽约公约》，在任一缔约国境内作出的仲裁裁决，可在其他缔约国法院获得承认与执行，这为跨境商事仲裁裁决的落地提供了坚实的国际法保障。</w:t>
      </w:r>
    </w:p>
    <w:p w14:paraId="14EB98A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除《纽约公约》外，仲裁裁决还可依据其他相关国际公约或双边条约在特定国家和地区获得执行。企业在设计仲裁条款时，应当将裁决执行地的公约缔约情况作为重要考量因素。</w:t>
      </w:r>
    </w:p>
    <w:p w14:paraId="2D4BDA9E">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2.3 投资仲裁的适用局限</w:t>
      </w:r>
    </w:p>
    <w:p w14:paraId="520EAFB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在投资者与东道国之间的投资争端解决领域，需要特别关注中美双边投资协定的缺位问题。中美两国虽曾就双边投资协定（BIT）进行多轮谈判，但迄今尚未正式签署，最后一轮实质性谈判于2016年举行。尽管2026年5月中美双方同意设立投资理事会（Investment Council）以就非敏感领域投资事项开展对话，但该机制并非具有约束力的投资保护协定，亦未赋予投资者提起投资仲裁的权利。因此，中国投资者目前无法以中美双边投资协定为依据，就美国政府的投资措施向国际仲裁庭提出投资仲裁请求，反之亦然。</w:t>
      </w:r>
    </w:p>
    <w:p w14:paraId="18781B4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世界银行下设的“国际投资争端解决中心”（ ICSID）办公室设于美国华盛顿哥伦比亚特区。该中心依据《关于解决国家和其他国家国民投资争端公约》（即《ICSID公约》）设立，专门处理投资者与东道国之间的投资争端。中国于1987年签署《ICSID公约》，该公约于1993年对中国正式生效。对于发生在其他国家和地区的投资争端，若存在可适用的双边投资协定或投资合同中的仲裁条款，且满足用尽当地行政或司法救济等前提条件，当事人可将争端提交ICSID，依照其仲裁规则寻求解决。</w:t>
      </w:r>
    </w:p>
    <w:p w14:paraId="52BA7EA7">
      <w:pPr>
        <w:spacing w:before="120" w:beforeLines="50" w:after="120" w:afterLines="50" w:line="360" w:lineRule="auto"/>
        <w:ind w:firstLine="562" w:firstLineChars="200"/>
        <w:jc w:val="both"/>
        <w:rPr>
          <w:rFonts w:ascii="Times New Roman" w:hAnsi="Times New Roman"/>
          <w:sz w:val="28"/>
          <w:szCs w:val="28"/>
          <w:lang w:val="en-US"/>
        </w:rPr>
      </w:pPr>
      <w:r>
        <w:rPr>
          <w:rFonts w:ascii="Times New Roman" w:hAnsi="Times New Roman"/>
          <w:b/>
          <w:bCs/>
          <w:sz w:val="28"/>
          <w:szCs w:val="28"/>
          <w:lang w:val="en-US"/>
        </w:rPr>
        <w:t>实务提示：</w:t>
      </w:r>
      <w:r>
        <w:rPr>
          <w:rFonts w:ascii="Times New Roman" w:hAnsi="Times New Roman"/>
          <w:sz w:val="28"/>
          <w:szCs w:val="28"/>
          <w:lang w:val="en-US"/>
        </w:rPr>
        <w:t>由于中美之间缺乏生效的双边投资协定，中国企业在美投资若遭遇美国政府的征收、歧视性监管或其他投资措施损害，目前无法通过投资仲裁机制获得救济。企业可以在投资架构设计中考虑通过第三国控股公司等方式，间接利用该国与美国之间的投资条约保护，但此类安排需经专业法律评估，且可能面临“拒绝司法”（denial of justice）及“用尽当地救济”等条款的限制。</w:t>
      </w:r>
    </w:p>
    <w:p w14:paraId="5799B80A">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 调解机制</w:t>
      </w:r>
    </w:p>
    <w:p w14:paraId="3F363CA3">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3.1 调解的法律地位与实践发展</w:t>
      </w:r>
    </w:p>
    <w:p w14:paraId="1EC10D5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调解作为一种以当事人合意为基础、由中立第三方协助促成和解的争议解决方式，因其程序灵活、成本较低且有利于维护商业关系，在美国日益受到当事人、法院及政府机构的重视。许多联邦法院和州法院已建立法院附设调解项目，在诉讼过程中引导当事人尝试调解。</w:t>
      </w:r>
    </w:p>
    <w:p w14:paraId="6F2A5B9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在美国法下，调解达成的和解协议本质上属于当事人之间的合同，可依据合同法获得执行。在已采纳UMA的州，调解沟通信息享有法定保密特权，不得在后续诉讼或仲裁中作为证据使用，这一制度设计有助于鼓励当事人在调解中坦诚沟通。</w:t>
      </w:r>
    </w:p>
    <w:p w14:paraId="4708692D">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3.2 国际和解协议的跨境执行前景</w:t>
      </w:r>
    </w:p>
    <w:p w14:paraId="28B7BB8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为提升国际商事调解所产生的和解协议的跨境执行力，联合国国际贸易法委员会主持制定了《联合国关于调解所产生的国际和解协议公约》（即《新加坡调解公约》）。该公约于2019年8月7日在新加坡开放签署，中国、美国等46个国家成为首批签署国。公约于2020年9月12日正式生效，截至2026年8月，共有60个签署国和23个缔约国。</w:t>
      </w:r>
    </w:p>
    <w:p w14:paraId="2BA26EF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就中国而言，由于全国人民代表大会常务委员会尚未批准该公约，《新加坡调解公约》目前尚未对中国生效。美国虽为首批签署国，但截至目前亦未将公约提交参议院审议批准。因此，当前中美两国当事人之间通过调解达成的跨境和解协议，尚不能直接依据《新加坡调解公约》在对方国家获得强制执行，而仍需按照各自国内法关于合同执行的一般规则处理。</w:t>
      </w:r>
    </w:p>
    <w:p w14:paraId="11876DF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尽管如此，公约的未生效并不妨碍当事人选择调解方式解决纠纷。中国国际经济贸易仲裁委员会等国内外众多仲裁机构均设有调解中心，可为当事人提供商事调解服务。企业亦可在合同中约定“调解前置”条款，将调解作为启动仲裁或诉讼前的必经程序，以提高争议解决效率。</w:t>
      </w:r>
    </w:p>
    <w:p w14:paraId="13928914">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 实务指引</w:t>
      </w:r>
    </w:p>
    <w:p w14:paraId="77A190C4">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4.1 美国律师资源的获取</w:t>
      </w:r>
    </w:p>
    <w:p w14:paraId="0C3B9A8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企业如需在美国聘请律师处理商事争议，可通过美国商法联盟（CLLA）获取专业资源。该联盟是由在美国从事债务催收、破产清算及商事争议解决业务的律师事务所和代理机构组成的全国性行业协会，会员单位覆盖全美各州。</w:t>
      </w:r>
    </w:p>
    <w:p w14:paraId="65A2FE8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企业向该联盟提交案件信息后，联盟可根据案件性质和地域推荐相应的会员律所或代理机构与企业联系，由企业自主决定是否委托。该联盟的联系方式如下：</w:t>
      </w:r>
    </w:p>
    <w:p w14:paraId="390BA60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w:t>
      </w:r>
      <w:r>
        <w:rPr>
          <w:rFonts w:ascii="Times New Roman" w:hAnsi="Times New Roman"/>
          <w:sz w:val="28"/>
          <w:szCs w:val="28"/>
          <w:lang w:val="en-US"/>
        </w:rPr>
        <w:tab/>
      </w:r>
      <w:r>
        <w:rPr>
          <w:rFonts w:ascii="Times New Roman" w:hAnsi="Times New Roman"/>
          <w:sz w:val="28"/>
          <w:szCs w:val="28"/>
          <w:lang w:val="en-US"/>
        </w:rPr>
        <w:t>官方网站：https://clla.org/</w:t>
      </w:r>
    </w:p>
    <w:p w14:paraId="0EED801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w:t>
      </w:r>
      <w:r>
        <w:rPr>
          <w:rFonts w:ascii="Times New Roman" w:hAnsi="Times New Roman"/>
          <w:sz w:val="28"/>
          <w:szCs w:val="28"/>
          <w:lang w:val="en-US"/>
        </w:rPr>
        <w:tab/>
      </w:r>
      <w:r>
        <w:rPr>
          <w:rFonts w:ascii="Times New Roman" w:hAnsi="Times New Roman"/>
          <w:sz w:val="28"/>
          <w:szCs w:val="28"/>
          <w:lang w:val="en-US"/>
        </w:rPr>
        <w:t>联系电话：1-312-240-1400</w:t>
      </w:r>
    </w:p>
    <w:p w14:paraId="4856A2A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w:t>
      </w:r>
      <w:r>
        <w:rPr>
          <w:rFonts w:ascii="Times New Roman" w:hAnsi="Times New Roman"/>
          <w:sz w:val="28"/>
          <w:szCs w:val="28"/>
          <w:lang w:val="en-US"/>
        </w:rPr>
        <w:tab/>
      </w:r>
      <w:r>
        <w:rPr>
          <w:rFonts w:ascii="Times New Roman" w:hAnsi="Times New Roman"/>
          <w:sz w:val="28"/>
          <w:szCs w:val="28"/>
          <w:lang w:val="en-US"/>
        </w:rPr>
        <w:t>传真号码：1-847-526-3993</w:t>
      </w:r>
    </w:p>
    <w:p w14:paraId="3EAACD64">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4.2 经济犯罪的报案渠道</w:t>
      </w:r>
    </w:p>
    <w:p w14:paraId="39963E4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若企业在美国遭受诈骗、银行款项被盗取、商业信息被窃取等经济犯罪行为侵害，应当及时向美国联邦调查局（FBI）报案。企业可选择向受害人所在地或犯罪嫌疑人所在地的FBI地方分局提出控告，FBI将依法开展刑事调查。</w:t>
      </w:r>
    </w:p>
    <w:p w14:paraId="53E1336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需要注意的是，刑事调查程序与民事争议解决程序相互独立。即使FBI已立案侦查，企业仍可同时通过民事诉讼或仲裁途径主张民事赔偿，但在证据调取和程序推进方面可能需要与刑事程序协调。</w:t>
      </w:r>
    </w:p>
    <w:p w14:paraId="017D633E">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二、</w:t>
      </w:r>
      <w:r>
        <w:rPr>
          <w:rFonts w:ascii="Times New Roman" w:hAnsi="Times New Roman"/>
          <w:b/>
          <w:bCs/>
          <w:sz w:val="28"/>
          <w:szCs w:val="28"/>
          <w:lang w:val="en-US"/>
        </w:rPr>
        <w:t>加拿大</w:t>
      </w:r>
    </w:p>
    <w:p w14:paraId="4254E1D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（一）外商投资审查制度</w:t>
      </w:r>
    </w:p>
    <w:p w14:paraId="4D67F3C8">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 监管体系概述</w:t>
      </w:r>
    </w:p>
    <w:p w14:paraId="2800115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外国投资实行多部门分工监管：全球事务部统筹投资促进与对外推介；创新、科学与经济发展部负责非文化类投资项目的审查管理；遗产部负责文化领域投资审核。加拿大投资署承担外资公共服务职能，为境外投资者提供政策咨询、项目对接与落地协助。</w:t>
      </w:r>
    </w:p>
    <w:p w14:paraId="25A59CE8">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 法律体系概述</w:t>
      </w:r>
    </w:p>
    <w:p w14:paraId="5D813E8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核心立法为1985年颁布的《加拿大投资法》及配套实施条例，立法宗旨为促进资本与技术流入、扩大就业，同时对重要领域外资实施准入管控。该法历经多次修订，2024年修正案大幅调整监管规则：对敏感领域投资实施事前强制申报，延长主管部门审查权限，增设外国国有企业净收益审查机制，提高违规处罚力度，并明确资产收购类交易适用该法。</w:t>
      </w:r>
    </w:p>
    <w:p w14:paraId="4247CCFB">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 常规投资审查机制</w:t>
      </w:r>
    </w:p>
    <w:p w14:paraId="578F8529">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3.1 投资报备制度</w:t>
      </w:r>
    </w:p>
    <w:p w14:paraId="37F456C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对外资原则上持开放态度，多数领域投资无需事前审批，仅须履行报备程序。外国投资者实施控制权收购的，原则上可在投资实施前或完成后30日内向主管部门报备。2024年修正案生效后，特定敏感领域投资须经事前审查通过方可实施，不得事后补报。主管部门收到完整报备材料后出具回执，并可在21日内启动正式审查程序。</w:t>
      </w:r>
    </w:p>
    <w:p w14:paraId="33B1E4D0">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3.2 净收益审查标准</w:t>
      </w:r>
    </w:p>
    <w:p w14:paraId="4AA3D53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主管部门以“投资是否为加拿大带来净收益”为核心审查基准，综合评估交易对就业带动、本土产业配套、出口竞争力、技术创新、产业竞争及政策兼容性等维度的影响。</w:t>
      </w:r>
    </w:p>
    <w:p w14:paraId="0A371D5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针对外国国有企业及政府关联企业在关键矿产领域的收购，审查重点包括：外国政府对标的企业的控制程度、相关领域市场竞争格局、收购方公司治理合规性、标的企业持续商业化运营能力等。审查法定时限为45日，可单方面延长30日；审查认定投资不利的，投资者可通过提交运营承诺与发展计划争取复审通过。</w:t>
      </w:r>
    </w:p>
    <w:p w14:paraId="7F6D1FDD">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3.3 分级申报门槛</w:t>
      </w:r>
    </w:p>
    <w:p w14:paraId="186C674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投资审查金额门槛因投资者来源、企业性质及所属行业不同而分级设置（2026年标准）：自贸协定成员国非国有企业投资门槛为21.79亿加元；世贸组织成员非国有企业为14.52亿加元；世贸组织成员国有企业为5.78亿加元；非世贸组织成员及文化领域投资，直接投资门槛500万加元，非直接投资5000万加元。</w:t>
      </w:r>
    </w:p>
    <w:p w14:paraId="11C2202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 国家安全审查制度</w:t>
      </w:r>
    </w:p>
    <w:p w14:paraId="5F573A9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加拿大依据《投资国家安全审查条例》建立外资国家安全审查制度，2021年更新审查指南进一步收紧标准，2024年《加拿大投资法》修正案强化部长层级的审查延长权与临时措施权。</w:t>
      </w:r>
    </w:p>
    <w:p w14:paraId="306FEAA8">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4.1 审查范围与触发</w:t>
      </w:r>
    </w:p>
    <w:p w14:paraId="5089F82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外国国有企业、政府关联及受政府影响的私营企业，在敏感领域的直接与间接投资，无论是否取得控制权，均可能触发国家安全审查。敏感领域覆盖关键矿产、交互式数字媒体、人工智能、航天航空、生物技术、医疗技术等15类技术与产业。审查考量因素还包括对关键矿产供应链的影响、敏感个人数据获取风险、国防工业与设施安全、外国腐败行为关联等。</w:t>
      </w:r>
    </w:p>
    <w:p w14:paraId="58022186">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4.2 审查程序</w:t>
      </w:r>
    </w:p>
    <w:p w14:paraId="64CCE95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主管部长认定投资可能损害国家安全的，向投资者发出审查通知，会商公共安全部长后提请总督下达正式审查令。审查应在45日内完成并提交报告，期限届满可延长45日；2024年修正案授权工业部长商国防部长后直接延长期限，并可在审查期间设置临时约束条件。总督收到报告后20日内作出附条件批准、禁止交易或要求撤资的最终决定。经审查认定无安全风险的，通知投资者终止审查程序。</w:t>
      </w:r>
    </w:p>
    <w:p w14:paraId="2420C2BE">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5. 配套监管要求</w:t>
      </w:r>
    </w:p>
    <w:p w14:paraId="17DBAA79">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5.1 公司居所要求</w:t>
      </w:r>
    </w:p>
    <w:p w14:paraId="6127A75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对公司董事的居民身份设有法定要求，各省标准不一：安大略省单一董事须为加拿大居民，两名董事至少一名为居民；不列颠哥伦比亚省多数董事为加拿大人且至少一名为省居民；阿尔伯塔省半数以上董事为加拿大人。</w:t>
      </w:r>
    </w:p>
    <w:p w14:paraId="494AB394">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5.2 行业准入限制</w:t>
      </w:r>
    </w:p>
    <w:p w14:paraId="51D816D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银行、广播电视、铀矿、报业、航空运输、渔业、沿海航运、金融服务等特殊行业设有外资准入限制。文化出版、影视制作、音像发行等领域纳入专门保护产业范围，适用更低审查门槛。</w:t>
      </w:r>
    </w:p>
    <w:p w14:paraId="69F153C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5.3 竞争审查并行</w:t>
      </w:r>
    </w:p>
    <w:p w14:paraId="6A26F38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并购交易同时受《竞争法》约束，达到9300万加元门槛的须向加拿大竞争局申报，接受竞争影响审查。竞争局可开展调查，由竞争法庭审理并作出裁决。</w:t>
      </w:r>
    </w:p>
    <w:p w14:paraId="735A12EE">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（二）反垄断与经营者集中审查</w:t>
      </w:r>
    </w:p>
    <w:p w14:paraId="619522D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加拿大反垄断规制以《竞争法》及配套实施规定为核心法律依据，由加拿大竞争局承担执法调查职能，竞争法庭负责案件审理与裁决，形成行政执法与司法裁判相衔接的双层监管体系。</w:t>
      </w:r>
    </w:p>
    <w:p w14:paraId="31660E49">
      <w:pPr>
        <w:numPr>
          <w:ilvl w:val="0"/>
          <w:numId w:val="25"/>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经营者集中审查制度</w:t>
      </w:r>
    </w:p>
    <w:p w14:paraId="333ED63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经营者集中涵盖企业合并、股权或资产收购、设立合营企业等导致控制权变动的交易。达到法定门槛的交易须事前申报，接受竞争审查。</w:t>
      </w:r>
    </w:p>
    <w:p w14:paraId="0CADEC8E">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1.1 申报门槛</w:t>
      </w:r>
    </w:p>
    <w:p w14:paraId="0758C9D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申报须同时满足三重测试标准：一是交易方规模测试，交易任意一方上一财年在加拿大境内的资产或营业收入超过4亿加元；二是交易规模测试，被收购目标实体的资产或营业收入超过9300万加元，前两项满足其一即可；三是股权权益比例测试，收购上市公司有表决权股份20%、收购非公司实体权益超50%，或交易完成后持股比例超35%（交易前已持股35%以上的，标准为50%）。</w:t>
      </w:r>
    </w:p>
    <w:p w14:paraId="74453205">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1.2 审查规则与程序</w:t>
      </w:r>
    </w:p>
    <w:p w14:paraId="1D9CEAF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竞争局围绕市场份额变化、市场集中度、境外产品竞争、替代商品可获得性、市场进入壁垒、行业创新影响等多维度因素，综合评估交易是否构成实质性防碍或减少竞争。</w:t>
      </w:r>
    </w:p>
    <w:p w14:paraId="27EFF1C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审查实行两阶段时限：收到完整申报材料后启动30个自然日的初始等待期；竞争局发出补充信息要求的，待申报方提交全部补充信息后，重新计算30个自然日的等待期。</w:t>
      </w:r>
    </w:p>
    <w:p w14:paraId="3B1C5C6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1.3 审查结果与法律责任</w:t>
      </w:r>
    </w:p>
    <w:p w14:paraId="4A10C85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等待期满未提出异议的，视为交易通过审查；存在竞争关切但可通过救济措施消除的，可通过附条件承诺方案批准交易；严重损害竞争且无法补救的，竞争法庭可发布禁止令，或判令拆分资产、业务。</w:t>
      </w:r>
    </w:p>
    <w:p w14:paraId="00E24F9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未依法申报的构成刑事犯罪，最高处5万加元罚金；法定等待期内擅自实施交易或违反和解协议的，按违法持续天数每日处最高1万加元的行政罚款；违反禁止集中裁决的，可处刑事罚金、最高5年监禁，或单处行政罚金。</w:t>
      </w:r>
    </w:p>
    <w:p w14:paraId="0513AD6C">
      <w:pPr>
        <w:numPr>
          <w:ilvl w:val="0"/>
          <w:numId w:val="25"/>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垄断协议规制</w:t>
      </w:r>
    </w:p>
    <w:p w14:paraId="5EF0B4B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垄断协议分为两类：核心横向卡特尔包括固定价格、划分市场、限制生产或供应数量、串通投标；纵向及其他限制竞争协议包括固定转售价格、排他性互不挖角协议等。</w:t>
      </w:r>
    </w:p>
    <w:p w14:paraId="5352BE5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核心卡特尔行为适用刑事追责，企业与个人罚金数额由法院酌定无法定上限，个人可并处最高14年监禁。其他垄断协议可责令停止实施，并处行政罚款：首次违法最高1000万加元，再次违法最高1500万加元，或按违法所得的3倍、全球年营业额的 3% 择高计算。</w:t>
      </w:r>
    </w:p>
    <w:p w14:paraId="285BE31F">
      <w:pPr>
        <w:numPr>
          <w:ilvl w:val="0"/>
          <w:numId w:val="25"/>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滥用市场支配地位</w:t>
      </w:r>
    </w:p>
    <w:p w14:paraId="6824F0D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认定市场支配地位需综合评估市场份额、市场进入壁垒、市场集中度、替代产品供给、下游买方议价能力等多重因素。典型滥用行为包括掠夺性定价、排他性交易、价格歧视、无正当理由拒绝交易、搭售、限定转售价格等。</w:t>
      </w:r>
    </w:p>
    <w:p w14:paraId="6C38DE2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滥用市场支配地位的行政罚款：首次违法最高2500万加元，再次违法最高3500万加元，或按违法所得3倍、全球年营业额3%择高计算。</w:t>
      </w:r>
    </w:p>
    <w:p w14:paraId="5CB004F1">
      <w:pPr>
        <w:numPr>
          <w:ilvl w:val="0"/>
          <w:numId w:val="25"/>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救济途径</w:t>
      </w:r>
    </w:p>
    <w:p w14:paraId="67BA6BF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当事人对竞争局裁决不服的，可向联邦上诉法院提起上诉；对竞争法庭判决不服的可依法上诉，符合法定条件的可上诉至联邦最高法院。</w:t>
      </w:r>
    </w:p>
    <w:p w14:paraId="75CDABF6">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（三）劳工合规</w:t>
      </w:r>
    </w:p>
    <w:p w14:paraId="6E4B0183">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 监管体系概述</w:t>
      </w:r>
    </w:p>
    <w:p w14:paraId="4E85F64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劳动就业实行联邦与省级分级管辖体制。联邦层面仅对银行、航空运输、油气管道、电信系统、跨省公路运输等具有全国性或跨区域属性的行业行使管辖权；其余绝大多数行业的就业标准、劳动关系规则均由各省自行制定。普通法省份的用工关系同时受普通法原则约束，魁北克省则适用民法体系下的劳动规则。</w:t>
      </w:r>
    </w:p>
    <w:p w14:paraId="0444D23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所有在加经营企业均需同步遵守就业基准、职业健康与安全、平权与人权、个人信息保护等多领域劳动立法，以及配套的实施细则。</w:t>
      </w:r>
    </w:p>
    <w:p w14:paraId="5F423198">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 核心劳动基准</w:t>
      </w:r>
    </w:p>
    <w:p w14:paraId="09758058">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2.1 工资与工时</w:t>
      </w:r>
    </w:p>
    <w:p w14:paraId="7BC9679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工资实行小时制，各省最低时薪标准在15至19加元区间，按年度动态调整。薪酬每半月发放一次，雇主须建立并留存工作时长、工资明细、税费与社保扣缴等用工记录，每次发薪同步向员工提供明细；员工离职后相关记录仍需保留7年，以备监管审计。</w:t>
      </w:r>
    </w:p>
    <w:p w14:paraId="7896F6F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标准工时为每日8小时、每周40小时。延长工作时间的，超时部分按正常时薪1.5倍计发；单日工作超11小时、单周超48小时或法定假日安排工作的，按正常时薪2倍计发。员工当日出勤工作不足4小时的，按4小时标准计发薪酬；连续工作满5小时的，应安排至少半小时无薪休息。企业超出法定工时上限安排工作的，须向就业标准主管部门申请批准，并征得员工及所在工会同意。</w:t>
      </w:r>
    </w:p>
    <w:p w14:paraId="528D8B7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2.2 休假与解雇保障</w:t>
      </w:r>
    </w:p>
    <w:p w14:paraId="1B2B57E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全国每年设9天带薪公众假期。员工连续工作满1年的，每年享有2周带薪年假；连续工作满5年的，带薪年假提升至3周。女性员工生育可享受18周停薪产假，雇主不得因孕期、生育解除劳动关系；父母育儿假合计时长为40周，父母双方各须至少休满5周。</w:t>
      </w:r>
    </w:p>
    <w:p w14:paraId="68D8EBD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雇主无正当理由解除劳动关系的，须支付遣散费：工龄满3个月不满1年付1周工资，满1年不满3年付2周工资，满3年后每增1年工龄增发1周工资，上限为8周工资。</w:t>
      </w:r>
    </w:p>
    <w:p w14:paraId="64DBD77D">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 外籍劳工用工合规</w:t>
      </w:r>
    </w:p>
    <w:p w14:paraId="60E6CE7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外籍劳工管理实行双轨制。临时外籍劳工计划（TFWP）适用于普通岗位，雇主须先申请劳动力市场影响评估，证明本地劳动力无法填补岗位空缺，并按薪资层级履行对应招聘程序；外籍劳工薪酬与工作条件不得低于本地同等岗位标准，违规企业将被取消聘用资格并公示。</w:t>
      </w:r>
    </w:p>
    <w:p w14:paraId="118AC4C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国际流动计划面向高端国际人才，豁免劳动力市场评估要求，审批流程更为便捷。联邦与省级建立联席监管机制，90%的外籍劳工岗位由各省负责日常监管。</w:t>
      </w:r>
    </w:p>
    <w:p w14:paraId="13ACE110">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（四）环境保护合规</w:t>
      </w:r>
    </w:p>
    <w:p w14:paraId="6A42EE90">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 监管体系概述</w:t>
      </w:r>
    </w:p>
    <w:p w14:paraId="24C6FCA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实行联邦、省、市三级环境治理架构，国际环境事务与省际环境协调由联邦政府统筹。联邦环境与气候变化部为核心主管部门，承担污染防控、生态保护、水资源管理、气象服务等职能，在全国设有百余个地方办事机构。各省均建有独立的环境监管体系，部分基层监管事项委托地方政府实施。</w:t>
      </w:r>
    </w:p>
    <w:p w14:paraId="00D7738E">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 法律体系概述</w:t>
      </w:r>
    </w:p>
    <w:p w14:paraId="6478BCB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法律体系以《加拿大环境保护法》为基础性立法，聚焦有毒有害物质管控与污染源全链条治理；配套立法涵盖《加拿大水法》《濒危物种法》《野生动物和植物保护法》《气候变化信息法》等领域。2019年C-69法案颁布后，《环境影响评估法》取代旧版环评立法，同时设立加拿大能源监管机构、影响评估署，分别替代原国家能源委员会与联邦环评署。</w:t>
      </w:r>
    </w:p>
    <w:p w14:paraId="06ED9AAC">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 核心合规要求</w:t>
      </w:r>
    </w:p>
    <w:p w14:paraId="645368A9">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3.1 排放许可与污染管控</w:t>
      </w:r>
    </w:p>
    <w:p w14:paraId="6EE313B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企业生产经营涉及向空气、水体、土地排放污染物，或从事危险废物贮存、运输、处置的，须取得环境主管部门签发的环境许可。加拿大建立有毒物质控制清单，涵盖约58000种化学品，对进口与使用实施严格管控。向海洋倾倒废弃物须经环境部长专项许可。</w:t>
      </w:r>
    </w:p>
    <w:p w14:paraId="1878BBD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企业可通过以下网址，查阅加拿大对污染和废弃物的管理规定：</w:t>
      </w:r>
      <w:r>
        <w:fldChar w:fldCharType="begin"/>
      </w:r>
      <w:r>
        <w:instrText xml:space="preserve"> HYPERLINK "https://www.canada.ca/en/services/environment/pollution-waste-management.html" </w:instrText>
      </w:r>
      <w:r>
        <w:fldChar w:fldCharType="separate"/>
      </w:r>
      <w:r>
        <w:rPr>
          <w:rStyle w:val="22"/>
          <w:rFonts w:ascii="Times New Roman" w:hAnsi="Times New Roman"/>
          <w:sz w:val="28"/>
          <w:szCs w:val="28"/>
          <w:lang w:val="en-US"/>
        </w:rPr>
        <w:t>https://www.canada.ca/en/services/environment/pollution-waste-management.html</w:t>
      </w:r>
      <w:r>
        <w:rPr>
          <w:rStyle w:val="22"/>
          <w:rFonts w:ascii="Times New Roman" w:hAnsi="Times New Roman"/>
          <w:sz w:val="28"/>
          <w:szCs w:val="28"/>
          <w:lang w:val="en-US"/>
        </w:rPr>
        <w:fldChar w:fldCharType="end"/>
      </w:r>
      <w:r>
        <w:rPr>
          <w:rFonts w:ascii="Times New Roman" w:hAnsi="Times New Roman"/>
          <w:sz w:val="28"/>
          <w:szCs w:val="28"/>
          <w:lang w:val="en-US"/>
        </w:rPr>
        <w:t>。</w:t>
      </w:r>
    </w:p>
    <w:p w14:paraId="6ACABE8E">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3.2 污染场地责任</w:t>
      </w:r>
    </w:p>
    <w:p w14:paraId="7EFD482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加拿大确立“谁污染谁赔付”原则，不动产买受人、承租人甚至抵押权人，均可能对场地历史遗留污染承担清理与修复责任。企业并购或购置不动产前，应当开展场地环境尽职调查，排查潜在环境负债。</w:t>
      </w:r>
    </w:p>
    <w:p w14:paraId="55C679C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3.3 物种与生态保护</w:t>
      </w:r>
    </w:p>
    <w:p w14:paraId="3A39BCC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联邦《濒危物种法》保护列入名录的野生动植物及其关键栖息地，适用于所有联邦土地；《渔业法》保护商业、休闲渔业范围内的鱼类资源与栖息地。项目开发涉及生态敏感区域的，需核查物种与栖息地保护要求。</w:t>
      </w:r>
    </w:p>
    <w:p w14:paraId="540AF135">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3.4 碳减排与气候变化</w:t>
      </w:r>
    </w:p>
    <w:p w14:paraId="42D467D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加拿大实施全国碳定价机制，各省可选择碳税或限额交易制度，未建立省级机制的省份执行联邦基准碳价。温室气体排放达标报告为企业法定义务，排放数据纳入年度国家清单。</w:t>
      </w:r>
    </w:p>
    <w:p w14:paraId="69A0073B">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3.5 水资源管理</w:t>
      </w:r>
    </w:p>
    <w:p w14:paraId="3B424CC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取水、向水体排放污染物须取得行政许可，各省对饮用水质量与供水设施运营实施严格监管。跨境水资源调动受《国际边境水域条约法》限制，不得任意跨流域调水。</w:t>
      </w:r>
    </w:p>
    <w:p w14:paraId="79877EA6">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 环境影响评估制度</w:t>
      </w:r>
    </w:p>
    <w:p w14:paraId="5E128DC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涉及联邦资金支持、联邦土地使用、需联邦行政许可的项目，以及能源、基础设施、生态敏感类特定项目，须开展环境影响评估。评估覆盖项目全生命周期的环境、社会与生态影响，包含原住民影响评价与协商程序。环评流程包括提交项目规划、编制环评文件、公众与原住民征询、部长评审、最终决定等阶段，未通过环评的项目不得开工。</w:t>
      </w:r>
    </w:p>
    <w:p w14:paraId="08D605A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企业可通过联系当地环境部门，申请环境影响评估。加联邦环境与气候变化部的联系方式如下：</w:t>
      </w:r>
    </w:p>
    <w:p w14:paraId="15A3A2E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w:t>
      </w:r>
      <w:r>
        <w:rPr>
          <w:rFonts w:ascii="Times New Roman" w:hAnsi="Times New Roman"/>
          <w:sz w:val="28"/>
          <w:szCs w:val="28"/>
          <w:lang w:val="en-US"/>
        </w:rPr>
        <w:tab/>
      </w:r>
      <w:r>
        <w:rPr>
          <w:rFonts w:ascii="Times New Roman" w:hAnsi="Times New Roman"/>
          <w:sz w:val="28"/>
          <w:szCs w:val="28"/>
          <w:lang w:val="en-US"/>
        </w:rPr>
        <w:t>联系电话：819-938-3860；1-800-668-6767（仅限加拿大）</w:t>
      </w:r>
    </w:p>
    <w:p w14:paraId="41AD131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w:t>
      </w:r>
      <w:r>
        <w:rPr>
          <w:rFonts w:ascii="Times New Roman" w:hAnsi="Times New Roman"/>
          <w:sz w:val="28"/>
          <w:szCs w:val="28"/>
          <w:lang w:val="en-US"/>
        </w:rPr>
        <w:tab/>
      </w:r>
      <w:r>
        <w:rPr>
          <w:rFonts w:ascii="Times New Roman" w:hAnsi="Times New Roman"/>
          <w:sz w:val="28"/>
          <w:szCs w:val="28"/>
          <w:lang w:val="en-US"/>
        </w:rPr>
        <w:t>电子邮箱：ec.enviroinfo.ec@canada.ca</w:t>
      </w:r>
    </w:p>
    <w:p w14:paraId="27C33D44">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5. 法律责任</w:t>
      </w:r>
    </w:p>
    <w:p w14:paraId="08122B9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环境监管部门享有现场检查、责令停工、查扣涉案物品等执法权。环境违法责任涵盖行政警告、罚款、禁令、合规令，情节严重的追究刑事责任，可处高额罚金与监禁。公司董事、高级管理人员授意或默许环境违法的，承担个人法律责任；再犯情形下罚款可加倍计算。</w:t>
      </w:r>
    </w:p>
    <w:p w14:paraId="3C1F7AE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（五）知识产权与商业秘密保护</w:t>
      </w:r>
    </w:p>
    <w:p w14:paraId="1EB9CB9A">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 监管体系概述</w:t>
      </w:r>
    </w:p>
    <w:p w14:paraId="58C49FD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知识产权事务由创新、科学和经济发展部下属加拿大知识产权局（CIPO）统筹实施，业务覆盖专利、商标、版权、工业设计、集成电路布图、植物新品种权等全品类。知识产权政策处与专利政策处负责联邦立法的审查修订；版权理事会承担版税核定、版权合同审查及法定许可发放职能；专利药品价格审查委员会对专利药品定价实施监督；加拿大皇家骑警负责假冒、盗版等知识产权刑事犯罪的执法打击。</w:t>
      </w:r>
    </w:p>
    <w:p w14:paraId="0A34231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 法律体系概述</w:t>
      </w:r>
    </w:p>
    <w:p w14:paraId="0D320C9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法律体系采取单行专门立法加国际条约并行模式。联邦层面核心立法包括《专利法》《商标法》《版权法》《工业设计法》《集成电路布图法》及配套实施细则；同时加拿大作为《保护工业产权的巴黎公约》《保护文学和艺术作品伯尔尼公约》（以下简称“《伯尔尼公约》”）《专利合作条约》《世贸组织与贸易有关的知识产权协议》等多项国际条约成员国，条约规则构成知识产权保护体系的组成部分。省级层面主要通过普通法规制假冒行为、人格权、商号及知识产权合同类纠纷。</w:t>
      </w:r>
    </w:p>
    <w:p w14:paraId="541A7072">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 知识产权保护规则</w:t>
      </w:r>
    </w:p>
    <w:p w14:paraId="1558B2F6">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3.1 专利保护</w:t>
      </w:r>
    </w:p>
    <w:p w14:paraId="06D6504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专利权授予适用先申请原则，授权发明需满足新颖性、实用性、非显而易见性三项要件，保护期限自申请日起计算，为期20年。申请人可依据国际条约主张优先权，首次在境外提出专利申请后12个月内在加拿大提交申请的，以首次申请日为优先权日。医药专利侵权设置了更严厉的处罚标准，企业主体侵权最高可处以10万加元罚款。</w:t>
      </w:r>
    </w:p>
    <w:p w14:paraId="66D25D2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职务发明的权属依约定确定，无明确约定时雇主不当然享有权利；雇员专为发明创造岗位聘用、利用雇主资源与信息完成发明的，雇主可依法主张专利权。</w:t>
      </w:r>
    </w:p>
    <w:p w14:paraId="2F4C8533">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3.2 商标保护</w:t>
      </w:r>
    </w:p>
    <w:p w14:paraId="259EBBD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注册商标权利人享有全国范围内的专用权，有权禁止他人使用混淆性近似标识。商标注册保护期为15年，每15年可申请续展，续展次数无限制。注册后连续3年未实际使用的，商标可因不使用被撤销。境外申请人可基于其本国注册记录，或基于商标已构成驰名商标的事实，在加拿大提出注册申请。</w:t>
      </w:r>
    </w:p>
    <w:p w14:paraId="5597DC93">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3.3 版权保护</w:t>
      </w:r>
    </w:p>
    <w:p w14:paraId="3DF5CE3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作品版权自创作完成自动产生，权利人对复制、发行、改编、传播等行为享有专有权利，一般保护期为作者终生加死后50年，计算机程序、录音制品、表演作品等特殊客体适用对应期限规则。《伯尔尼公约》成员国国民的作品在加拿大自动获得版权保护。</w:t>
      </w:r>
    </w:p>
    <w:p w14:paraId="19F4F384">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3.4 工业设计与集成电路布图保护</w:t>
      </w:r>
    </w:p>
    <w:p w14:paraId="652ED92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工业设计经注册后，权利人可在全国范围内禁止他人制造、使用、销售相同设计，保护期为10年。申请人可依《海牙协定》主张6个月的国际优先权。</w:t>
      </w:r>
    </w:p>
    <w:p w14:paraId="514CC07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集成电路布图需在投入商业使用后2年内申请注册，注册后权利人享有排他权，保护期最长为10年，未经许可不得复制布图或其实质部分。</w:t>
      </w:r>
    </w:p>
    <w:p w14:paraId="087FC01E">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3.5 商业秘密保护</w:t>
      </w:r>
    </w:p>
    <w:p w14:paraId="27F9E53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无专门的商业秘密成文立法，主要通过普通法下的不正当竞争规则提供司法保护。第三人以窃取、违反保密义务等不正当手段获取、披露或使用商业秘密的，权利人可提起诉讼，请求停止侵害并主张损害赔偿。第三人通过自行研发、反向工程等合法途径获取相同信息的，不构成侵权。</w:t>
      </w:r>
    </w:p>
    <w:p w14:paraId="38DA354F">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4. 侵权责任与边境执法</w:t>
      </w:r>
    </w:p>
    <w:p w14:paraId="263BED7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知识产权侵权民事救济包括停止侵害禁令与损害赔偿；情节严重的可追究刑事责任，例如专利申请提交虚假陈述材料的，最高可处500加元罚款及6个月监禁。</w:t>
      </w:r>
    </w:p>
    <w:p w14:paraId="6412D3C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边境知识产权保护实行三级机制：一是权利人申请海关扣押，一次申请有效期2年，扣押期限一般不超过10个工作日；二是版权权利人书面通知边境服务局查扣入境侵权物品；三是法院依申请签发扣押令。经查证侵权的商品，法院可判令销毁或返还权利人。</w:t>
      </w:r>
    </w:p>
    <w:p w14:paraId="4153BE2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（六）数据安全与隐私合规</w:t>
      </w:r>
    </w:p>
    <w:p w14:paraId="44B1D859">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 法律体系概述</w:t>
      </w:r>
    </w:p>
    <w:p w14:paraId="75C5986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实行联邦与省级双层并行的数据隐私规制体系，以知情同意为核心原则，逐步形成覆盖公共部门、私营企业及地方事务的多层保护机制。联邦层面，1983年《隐私法》为公共机关设定个人信息处理边界；2000年施行的《个人信息保护与电子文件法》（PIPEDA）将规制范围延伸至私营领域，适用于跨省经营主体以及银行、电信等联邦管辖行业。2022年联邦政府提出《数字宪章实施法案》（C-27法案），内含《消费者隐私保护法》《个人信息和数据保护法庭法》《人工智能与数据法案》等专项立法，拟增设数据删除权、可携权及高影响AI系统治理规则。然而，该法案已于2025年1月随议会休会失效。2026年6月联邦政府重新提出《保护隐私与消费者数据法》（C-36法案），但不再包含独立的AI立法。</w:t>
      </w:r>
    </w:p>
    <w:p w14:paraId="3875CCD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省级层面，魁北克省1993年率先出台私营部门隐私专门立法，不列颠哥伦比亚省、阿尔伯塔省等相继制定本省个人信息保护法规，经联邦认可后在辖区内替代联邦法适用。仅在省内开展经营的企业，优先适用所在省份的隐私规则。</w:t>
      </w:r>
    </w:p>
    <w:p w14:paraId="1A3F3662">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 核心合规要求</w:t>
      </w:r>
    </w:p>
    <w:p w14:paraId="061619E2">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2.1 知情同意制度</w:t>
      </w:r>
    </w:p>
    <w:p w14:paraId="18EBA32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企业收集、使用或披露个人信息前，须向信息主体清晰说明信息来源、处理目的、潜在风险、留存期限、跨境传输安排及申诉渠道。财务、健康、生物识别等高度敏感信息，须取得书面签字或可核验的主动同意；普通消费、浏览等低风险场景可适用默示同意。个人有权随时撤回授权，企业须立即停止处理并删除或匿名化对应数据。</w:t>
      </w:r>
    </w:p>
    <w:p w14:paraId="22DE1363">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2.2 法定例外情形</w:t>
      </w:r>
    </w:p>
    <w:p w14:paraId="3C9A941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法律设定严格限定的无需同意情形，主要包括：执法、税务等机关依法履行公务；危及生命健康的紧急情况；金融机构防范欺诈交易；支付清算等合同履行必要环节。拟议中的《消费者隐私保护法》增设“合法利益”条款，但禁止用于画像广告或个性化营销，企业援引时须留存必要性评估记录。</w:t>
      </w:r>
    </w:p>
    <w:p w14:paraId="1130B32B">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2.3 数据泄露通知</w:t>
      </w:r>
    </w:p>
    <w:p w14:paraId="1456268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2018年PIPEDA修订后确立强制泄露通知义务。发生可能导致个人经济损失、身份盗用或显著精神损害的数据泄露事件，企业须尽快向监管机构及受影响个人发出通知，并完整留存事件记录至少两年。</w:t>
      </w:r>
    </w:p>
    <w:p w14:paraId="4811D653">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2.4 跨境传输管控</w:t>
      </w:r>
    </w:p>
    <w:p w14:paraId="6F58059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企业向境外传输个人信息前，须评估接收国法律保护水平、信息类型及对个人的影响，保护水平不足的需通过合同约束、技术加密等方式补足。魁北克等省份要求更严，须向省级专员备案或达到安全评分阈值。</w:t>
      </w:r>
    </w:p>
    <w:p w14:paraId="1EDB7116">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 执法机制与法律责任</w:t>
      </w:r>
    </w:p>
    <w:p w14:paraId="638E1CF3">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联邦隐私专员享有调查权、整改建议权及向法院申请执行令的权力。拟议的《消费者隐私保护法》将进一步授权专员直接作出处罚决定：一般违规最高处全球年营业额3%或1000万加元罚款，严重违规最高处年营业额5%或2500万加元罚款。各省亦同步建立整改、罚款等多级执法机制。</w:t>
      </w:r>
    </w:p>
    <w:p w14:paraId="5DF98CD0">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（七）反商业贿赂合规</w:t>
      </w:r>
    </w:p>
    <w:p w14:paraId="499BEF0A">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 法律体系概述</w:t>
      </w:r>
    </w:p>
    <w:p w14:paraId="7E2E268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反商业贿赂法律体系由国际公约义务与国内成文法共同构成。国际层面，加拿大于1997年与经合组织（OECD）其他33个成员国共同签署《国际商业交易活动反对行贿外国公职人员公约》，承担反海外商业贿赂的国际履约义务。国内层面，以《刑法》与《加拿大外国公职人员腐败法》为核心立法，建立了刑事制裁与民事追责并行的规制体系。</w:t>
      </w:r>
    </w:p>
    <w:p w14:paraId="4B89D9D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《加拿大外国公职人员腐败法》于1998年经联邦议会通过，1999年2月14日正式生效。该法颁布后历经多次修订，规制范围持续收紧，是加拿大规制海外商业贿赂的专门立法。</w:t>
      </w:r>
    </w:p>
    <w:p w14:paraId="02771F98">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 核心规制内容</w:t>
      </w:r>
    </w:p>
    <w:p w14:paraId="2F03C1D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2.1 禁止的腐败行为</w:t>
      </w:r>
    </w:p>
    <w:p w14:paraId="3E2F403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该法配合加拿大《刑法》，重点规制三类核心犯罪：一是向外国公职人员行贿；二是与腐败相关的洗钱行为；三是非法获取财产及收益。同时，串谋、协助、教唆及辅导实施上述行为的，同样纳入刑事追责范围。</w:t>
      </w:r>
    </w:p>
    <w:p w14:paraId="35BFBE9F">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2.2 贿赂的认定范围</w:t>
      </w:r>
    </w:p>
    <w:p w14:paraId="1800B38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加拿大法律对商业贿赂的界定范围宽泛，贿赂标的涵盖金钱、有价物品、职务安排、住所、就业机会、贷款、奖励以及其他任何形式的物质利益与非物质利益。</w:t>
      </w:r>
    </w:p>
    <w:p w14:paraId="6DF40CBE">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2.3  “便利款”的专门规制</w:t>
      </w:r>
    </w:p>
    <w:p w14:paraId="4699D8E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该法修订后明确规定，为获取商业机会而向外国公职人员支付“便利款”的行为构成刑事犯罪。“便利款”指企业在境外经营中，为加快政府许可、经营执照、签证办理等行政事务流程而向经办人员支付的各类利益，形式不限于现金，还包括提供贷款、福利报酬等其他利益。实施该类行为的，最高可处14年监禁。</w:t>
      </w:r>
    </w:p>
    <w:p w14:paraId="1722BD68">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 法律责任与执法机制</w:t>
      </w:r>
    </w:p>
    <w:p w14:paraId="2AC90E0F">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3.1 法律责任</w:t>
      </w:r>
    </w:p>
    <w:p w14:paraId="7E2D0FA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涉嫌商业贿赂犯罪的，同时适用刑事处罚与民事处罚。根据违法情节轻重，相关责任人可被判处5至14年监禁，可并处罚金。</w:t>
      </w:r>
    </w:p>
    <w:p w14:paraId="21BEF222">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3.2 监督执法机制</w:t>
      </w:r>
    </w:p>
    <w:p w14:paraId="355BC21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加拿大设立议会督察官制度。督察官为议会任职官员，独立于行政政府与政党，依法行使调查权、建议权、调查结论公开权等职权，对行政违法与不当行为予以纠正，承担腐败发现与预防职能。</w:t>
      </w:r>
    </w:p>
    <w:p w14:paraId="1C32C27B">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（八）争议解决</w:t>
      </w:r>
    </w:p>
    <w:p w14:paraId="625BAA65">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 争议解决的主要途径</w:t>
      </w:r>
    </w:p>
    <w:p w14:paraId="71A4C9F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加拿大商事纠纷解决形成了协商、调解、仲裁、诉讼多元递进的制度体系，当事人可根据争议标的、复杂程度及商业合作需求，选择相应的争议解决路径。</w:t>
      </w:r>
    </w:p>
    <w:p w14:paraId="59E6054A">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1.1 协商</w:t>
      </w:r>
    </w:p>
    <w:p w14:paraId="6865D70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协商是争议发生后的首选解决方式，由各方当事人通过口头或书面形式直接开展磋商与谈判，在自行厘清争议事实的基础上互谅互让，达成和解协议以消弭分歧。该方式程序灵活、成本较低，且可最大程度维系商事合作关系，是加拿大商事实践中最为普遍的前置解纷路径。</w:t>
      </w:r>
    </w:p>
    <w:p w14:paraId="25F60327">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1.2 调解</w:t>
      </w:r>
    </w:p>
    <w:p w14:paraId="69E3B513">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调解由中立第三方居中主持，在分清事实与责任的基础上，依据法律规定、合同约定并参照商事惯例，推动争议各方达成公平调解协议。加拿大多数地区实行诉前强制调解制度，纠纷正式进入法庭审理前，当事人须先行完成调解程序。调解员可由当事人自主选任，实践中多由资深执业律师或退休法官担任。除法定强制调解外，当事人也可随时启动自愿调解程序。</w:t>
      </w:r>
    </w:p>
    <w:p w14:paraId="5FA685CC">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1.3 仲裁</w:t>
      </w:r>
    </w:p>
    <w:p w14:paraId="1267D28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当事人可通过事前或事后达成的仲裁协议，将争议提交仲裁机构，由仲裁员按照法定或约定的仲裁程序作出裁决。仲裁裁决具有终局性，一方当事人不履行裁决的，另一方有权向法院申请强制执行。在国际仲裁规则适用方面，加拿大1986年采纳《联合国国际贸易法委员会国际商事仲裁示范法》，同时作为《联合国承认及执行外国仲裁裁决公约》（《纽约公约》）缔约国，境内作出的仲裁裁决可在全球170余个缔约国得到承认与执行。</w:t>
      </w:r>
    </w:p>
    <w:p w14:paraId="340462B4">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1.4 诉讼</w:t>
      </w:r>
    </w:p>
    <w:p w14:paraId="274B6F2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诉讼是争议解决的最终司法路径，由法院依照法定程序对争议作出裁判，判决生效后具有国家强制执行力。加拿大法院体系由联邦法院、省高等法院、省普通法院三级构成。一般商事纠纷通常由省高等法院行使初审管辖权；标的金额较小的简易商事案件，可由省普通法院审理；涉及知识产权、海事、跨省商事等专门领域的案件，由联邦法院行使管辖权。</w:t>
      </w:r>
    </w:p>
    <w:p w14:paraId="13F4FEBF">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 争议解决的法律适用体系</w:t>
      </w:r>
    </w:p>
    <w:p w14:paraId="38DDA05B">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2.1 宪法框架</w:t>
      </w:r>
    </w:p>
    <w:p w14:paraId="295D9B0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法律体系以宪法为根本上位法，核心包括《加拿大1867年宪法》（原《英属北美法案》）与《加拿大1982年宪法》（内含《加拿大权利与自由宪章》），确立了联邦与省的立法分权框架与基本权利保障原则，是全部商事法律的效力来源。</w:t>
      </w:r>
    </w:p>
    <w:p w14:paraId="07111877">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2.2 联邦与省的管辖权划分</w:t>
      </w:r>
    </w:p>
    <w:p w14:paraId="35E4343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实行联邦制，联邦与省在各自法定管辖范围内独立行使立法权。联邦政府管辖国际贸易、省际贸易、税收、国防等全国性事务；省级政府管辖自然资源、教育、财产与民事权利等地方性事务。商事立法涉及两级政府权限划分，立法是否越权由司法机关最终裁决。</w:t>
      </w:r>
    </w:p>
    <w:p w14:paraId="0EB32707">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2.3 双轨私法体系</w:t>
      </w:r>
    </w:p>
    <w:p w14:paraId="09ECE84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私法体系呈现双轨特征：魁北克省以外的九省三区承袭英国普通法传统，裁判遵循先例原则，以过往上级法院判例确立的规则作为审理依据；魁北克省私法采用法国民法体系，以成文民法典为核心，依法典确立的基本原则裁判案件。</w:t>
      </w:r>
    </w:p>
    <w:p w14:paraId="60969546">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2.4 仲裁国际合作</w:t>
      </w:r>
    </w:p>
    <w:p w14:paraId="7E0F4F5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加拿大1986年加入《联合国国际贸易法委员会仲裁规则》，该规则适用于国家与私人间投资争议、多方仲裁、第三人加入等场景，由当事人以书面方式自愿约定适用。同时依托《纽约公约》构建了跨境仲裁裁决的承认与执行体系。</w:t>
      </w:r>
    </w:p>
    <w:p w14:paraId="08FFE339">
      <w:pPr>
        <w:pStyle w:val="26"/>
        <w:numPr>
          <w:ilvl w:val="1"/>
          <w:numId w:val="6"/>
        </w:numPr>
        <w:spacing w:before="120" w:beforeLines="50" w:after="120" w:afterLines="50" w:line="360" w:lineRule="auto"/>
        <w:jc w:val="center"/>
        <w:outlineLvl w:val="2"/>
        <w:rPr>
          <w:rFonts w:ascii="Times New Roman" w:hAnsi="Times New Roman"/>
          <w:b/>
          <w:bCs/>
          <w:sz w:val="28"/>
          <w:szCs w:val="28"/>
          <w:lang w:val="en-GB"/>
        </w:rPr>
      </w:pPr>
      <w:r>
        <w:rPr>
          <w:rFonts w:hint="eastAsia" w:ascii="Times New Roman" w:hAnsi="Times New Roman"/>
          <w:b/>
          <w:bCs/>
          <w:sz w:val="28"/>
          <w:szCs w:val="28"/>
          <w:lang w:val="en-GB"/>
        </w:rPr>
        <w:t xml:space="preserve"> </w:t>
      </w:r>
      <w:bookmarkStart w:id="43" w:name="_Toc341131341"/>
      <w:r>
        <w:rPr>
          <w:rFonts w:hint="eastAsia" w:ascii="Times New Roman" w:hAnsi="Times New Roman"/>
          <w:b/>
          <w:bCs/>
          <w:sz w:val="28"/>
          <w:szCs w:val="28"/>
          <w:lang w:val="en-GB"/>
        </w:rPr>
        <w:t>南美地区</w:t>
      </w:r>
      <w:bookmarkEnd w:id="43"/>
    </w:p>
    <w:p w14:paraId="5BBCB58E">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巴西</w:t>
      </w:r>
    </w:p>
    <w:p w14:paraId="2211D2F2">
      <w:pPr>
        <w:numPr>
          <w:ilvl w:val="0"/>
          <w:numId w:val="2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外商投资审查制度</w:t>
      </w:r>
    </w:p>
    <w:p w14:paraId="20D64CE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巴西外商投资监管以《外资法》《外汇和国际资本法》为核心框架，巴西中央银行负责外资登记管理。现汇类投资无需事前审批，资金汇入后30日内到巴西央行办理外资登记即可；信贷转化投资、实物出资类投资需事前经央行核准。</w:t>
      </w:r>
    </w:p>
    <w:p w14:paraId="58522296">
      <w:pPr>
        <w:numPr>
          <w:ilvl w:val="0"/>
          <w:numId w:val="2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反垄断与经营者集中审查</w:t>
      </w:r>
    </w:p>
    <w:p w14:paraId="6205A7B3">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巴西反垄断监管以《反垄断法》为核心依据，由经济防务行政委员会（CADE）独立行使调查、审查与处罚职权，监管效力覆盖境内所有市场主体的垄断行为与集中交易活动。</w:t>
      </w:r>
    </w:p>
    <w:p w14:paraId="0DFF6009">
      <w:pPr>
        <w:numPr>
          <w:ilvl w:val="0"/>
          <w:numId w:val="2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禁止性垄断行为</w:t>
      </w:r>
    </w:p>
    <w:p w14:paraId="1914033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禁止性垄断行为主要分为三类：（1）横向垄断协议：包括同业经营者间的价格协同、产量限制、市场分割、投标串通等安排，无论是否实际产生限制竞争效果均属违法；（2）纵向限制竞争行为：包括固定转售价格、限定交易对象、设置不合理排他性渠道安排等；（3）滥用市场支配地位，包括掠夺性定价、无正当理由拒绝交易、强制搭售、歧视性交易条件等排除、限制竞争的行为。</w:t>
      </w:r>
    </w:p>
    <w:p w14:paraId="2FCC8643">
      <w:pPr>
        <w:numPr>
          <w:ilvl w:val="0"/>
          <w:numId w:val="2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经营者集中</w:t>
      </w:r>
    </w:p>
    <w:p w14:paraId="5447890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经营者集中实行事前强制申报制度。参与集中的一方所属经济集团上一财年在巴西境内营业额达到7.5亿雷亚尔，且至少有另一参与方所属集团在巴西境内营业额达到7500万雷亚尔的，必须在交易交割前向CADE提交申报；符合条件的交易可适用简易审查程序，其余适用普通程序，审查周期最长可延长至240日，未经审查通过的集中交易不得完成交割。</w:t>
      </w:r>
    </w:p>
    <w:p w14:paraId="57611029">
      <w:pPr>
        <w:numPr>
          <w:ilvl w:val="0"/>
          <w:numId w:val="2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法律责任</w:t>
      </w:r>
    </w:p>
    <w:p w14:paraId="41B5D25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实施垄断行为的企业可被处上一财年巴西境内营业额0.1%至20%的罚款，相关责任人可处最高1500万雷亚尔罚金并限制从业；未依法申报即交割的，最高可处交易金额1%的罚款，交易效力自始待定。</w:t>
      </w:r>
    </w:p>
    <w:p w14:paraId="7752CDC2">
      <w:pPr>
        <w:numPr>
          <w:ilvl w:val="0"/>
          <w:numId w:val="2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劳工合规</w:t>
      </w:r>
    </w:p>
    <w:p w14:paraId="3EAC853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巴西劳工合规以2017年修订的《劳工法》为核心依据，整体规则偏向劳动者权益保护。 </w:t>
      </w:r>
    </w:p>
    <w:p w14:paraId="7B802F14">
      <w:pPr>
        <w:numPr>
          <w:ilvl w:val="0"/>
          <w:numId w:val="28"/>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用工本地化</w:t>
      </w:r>
    </w:p>
    <w:p w14:paraId="7F9AFBC3">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企业本国劳工人数、工资总额占比均不得低于三分之二，仅国内无对应专业人才时可申请放宽外籍员工比例；外籍高等学历人员需具备2年以上专业经验，中等学历人员需具备3年以上经验。 </w:t>
      </w:r>
    </w:p>
    <w:p w14:paraId="77B95E73">
      <w:pPr>
        <w:numPr>
          <w:ilvl w:val="0"/>
          <w:numId w:val="28"/>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薪酬社保</w:t>
      </w:r>
    </w:p>
    <w:p w14:paraId="1D69504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2026年联邦最低工资标准为1621雷亚尔/月，部分州可上调州级最低工资；企业需按工资总额20%缴纳社会保险金（INSS），并为员工缴存相当于工资8%的工龄保障金（FGTS）；员工社保按7.5%-14%累进比例从工资中扣缴。 </w:t>
      </w:r>
    </w:p>
    <w:p w14:paraId="6C3A4A73">
      <w:pPr>
        <w:numPr>
          <w:ilvl w:val="0"/>
          <w:numId w:val="28"/>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工时与纠纷</w:t>
      </w:r>
    </w:p>
    <w:p w14:paraId="13470BA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法定周工作时长44小时，实行每周五天半工作制，加班工资按正常薪资的1.5倍计发。巴西工会影响力较强，工资调整、福利协商需与工会对接；劳资纠纷优先通过工会调解，无法达成一致的可向劳工法院提起诉讼。外籍员工需由企业向移民局申请工作许可后，再办理工作签证。</w:t>
      </w:r>
    </w:p>
    <w:p w14:paraId="2795B7B1">
      <w:pPr>
        <w:numPr>
          <w:ilvl w:val="0"/>
          <w:numId w:val="2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环境保护合规</w:t>
      </w:r>
    </w:p>
    <w:p w14:paraId="35B4CE7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巴西环境保护法律体系以宪法“环境专章”为顶层依据，主管部门为环境和气候变化部，联邦环境与可再生自然资源管理局（IBAMA）负责具体执法。 </w:t>
      </w:r>
    </w:p>
    <w:p w14:paraId="7461FB9A">
      <w:pPr>
        <w:numPr>
          <w:ilvl w:val="0"/>
          <w:numId w:val="2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环评准入</w:t>
      </w:r>
    </w:p>
    <w:p w14:paraId="6DFE489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所有投资项目需执行三级环评许可程序：施工规划阶段申请初步许可（LP），确认环境可行性；开工前申请开工许可（LI）；施工阶段申请施工许可（LO）。跨州项目、油气水电等战略性项目向IBAMA申请，地方项目向州市环保部门申请；环评周期通常为3个月至2年，手续费用1万至30万雷亚尔不等。 </w:t>
      </w:r>
    </w:p>
    <w:p w14:paraId="4F34B109">
      <w:pPr>
        <w:numPr>
          <w:ilvl w:val="0"/>
          <w:numId w:val="2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核心合规要求</w:t>
      </w:r>
    </w:p>
    <w:p w14:paraId="337885C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国家环境政策法》《环境犯罪法》《林业法》《水资源法》共同划定合规底线，造成环境污染、生态破坏的，企业需承担修复责任与民事赔偿，相关责任人可处最高5年监禁。2024年碳市场监管法案生效后，年排放量超1万吨二氧化碳当量的企业需纳入碳排放交易体系，可通过减排或购买碳信用抵消排放。</w:t>
      </w:r>
    </w:p>
    <w:p w14:paraId="31B1FA04">
      <w:pPr>
        <w:numPr>
          <w:ilvl w:val="0"/>
          <w:numId w:val="2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知识产权与商业秘密保护</w:t>
      </w:r>
    </w:p>
    <w:p w14:paraId="13D13E8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巴西为《保护工业产权巴黎公约》《伯尔尼保护文学和艺术作品公约》缔约国，国家工业产权局（INPI）为知识产权主管机构。 </w:t>
      </w:r>
    </w:p>
    <w:p w14:paraId="5D596B8E">
      <w:pPr>
        <w:numPr>
          <w:ilvl w:val="0"/>
          <w:numId w:val="30"/>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权利取得</w:t>
      </w:r>
    </w:p>
    <w:p w14:paraId="4A80199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专利、商标均需向INPI提交申请，发明专利权保护期20年，注册商标有效期10年且可续展；申请统一通过电子平台提交，审查周期较长。除通用工业产权外，巴西针对集成电路布图设计、计算机软件、植物新品种分别制定了专门立法，对应权利需单独办理登记。 </w:t>
      </w:r>
    </w:p>
    <w:p w14:paraId="2F62FBD1">
      <w:pPr>
        <w:numPr>
          <w:ilvl w:val="0"/>
          <w:numId w:val="30"/>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侵权责任</w:t>
      </w:r>
    </w:p>
    <w:p w14:paraId="036356B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知识产权行政执法由联邦及州民事警察局执行，经查证的侵权产品将被销毁；专利侵权行为可对责任人处1个月至1年有期徒刑，或处以罚金。 </w:t>
      </w:r>
    </w:p>
    <w:p w14:paraId="1502A9DD">
      <w:pPr>
        <w:numPr>
          <w:ilvl w:val="0"/>
          <w:numId w:val="30"/>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商业秘密保护</w:t>
      </w:r>
    </w:p>
    <w:p w14:paraId="223B2EA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商业秘密保护适用《反不正当行政行为法》与《刑法典》相关条款，非法获取、披露、使用他人商业秘密的，权利人可主张民事损害赔偿，情节严重的可追究相关人员刑事责任。</w:t>
      </w:r>
    </w:p>
    <w:p w14:paraId="537A367A">
      <w:pPr>
        <w:numPr>
          <w:ilvl w:val="0"/>
          <w:numId w:val="2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数据安全与隐私合规</w:t>
      </w:r>
    </w:p>
    <w:p w14:paraId="1288D6C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巴西数据保护核心立法为《通用数据保护法》（LGPD，第13709号法），适用于在巴西境内处理自然人个人数据的所有活动，不受数据控制者注册地限制。 </w:t>
      </w:r>
    </w:p>
    <w:p w14:paraId="26A4CF83">
      <w:pPr>
        <w:numPr>
          <w:ilvl w:val="0"/>
          <w:numId w:val="3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核心合规义务</w:t>
      </w:r>
    </w:p>
    <w:p w14:paraId="1BB99D0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数据处理必须具备合法依据，包括数据主体同意、合同履行必要、法定义务履行、公共利益执行等；处理个人数据前需向主体明确告知处理目的、方式、留存期限等信息；敏感个人数据的处理需满足更严格的限定条件。数据主体依法享有访问、更正、删除、数据可携带等权利。 </w:t>
      </w:r>
    </w:p>
    <w:p w14:paraId="3ACAA1A3">
      <w:pPr>
        <w:numPr>
          <w:ilvl w:val="0"/>
          <w:numId w:val="3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监管与处罚</w:t>
      </w:r>
    </w:p>
    <w:p w14:paraId="0AA7C09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国家数据保护局（ANPD）负责执法，违规企业可被处以最高相当于全球年营业额2%的罚款，还可被责令暂停或禁止相关数据处理活动。跨境传输个人数据的，需确认接收国具备充分数据保护水平，或通过标准合同条款、绑定公司规则等合规机制保障数据安全。</w:t>
      </w:r>
    </w:p>
    <w:p w14:paraId="6094E4B5">
      <w:pPr>
        <w:numPr>
          <w:ilvl w:val="0"/>
          <w:numId w:val="2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反商业贿赂合规</w:t>
      </w:r>
    </w:p>
    <w:p w14:paraId="4B16CAE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巴西为《联合国反腐败公约》缔约国，反商业贿赂法律体系涵盖《反贪腐法》（又称《诚信公司法》）《刑法典》《反洗钱犯罪法》《公共招标法》等。 </w:t>
      </w:r>
    </w:p>
    <w:p w14:paraId="4472968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适用范围覆盖巴西境内所有企业（含外商投资企业），既包括向巴西公职人员行贿，也包括向外国公职人员实施的贿赂行为。 </w:t>
      </w:r>
    </w:p>
    <w:p w14:paraId="7B064D2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责任形式方面，企业实施贿赂行为的，可处最高上一年度总收入20%的罚金，同时5年内禁止参与公共采购项目；个人行贿可处2至12年有期徒刑并处罚金，三人以上团伙实施的按团伙犯罪加重处罚。</w:t>
      </w:r>
    </w:p>
    <w:p w14:paraId="3BCAB845">
      <w:pPr>
        <w:numPr>
          <w:ilvl w:val="0"/>
          <w:numId w:val="2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争议解决</w:t>
      </w:r>
    </w:p>
    <w:p w14:paraId="6B0C068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巴西商事争议可通过诉讼、仲裁、调解三种途径解决，企业可根据争议性质与金额选择适配方式。 </w:t>
      </w:r>
    </w:p>
    <w:p w14:paraId="47628217">
      <w:pPr>
        <w:numPr>
          <w:ilvl w:val="0"/>
          <w:numId w:val="32"/>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诉讼渠道</w:t>
      </w:r>
    </w:p>
    <w:p w14:paraId="292596A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巴西部分地区设有专门商事法庭，最高上诉机构为巴西高等法院；民事诉讼程序环节多、周期长，平均审理耗时超过800天，败诉方需承担诉讼费用及对方合理律师费用。</w:t>
      </w:r>
    </w:p>
    <w:p w14:paraId="22126163">
      <w:pPr>
        <w:numPr>
          <w:ilvl w:val="0"/>
          <w:numId w:val="32"/>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仲裁渠道</w:t>
      </w:r>
    </w:p>
    <w:p w14:paraId="362ED41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2015年生效的《仲裁法》明确仲裁协议需以书面形式订立；巴西境内作出的仲裁裁决为终局裁决，可直接申请强制执行；境外仲裁裁决需经联邦最高法院依据《承认及执行外国仲裁裁决公约》（即纽约公约）审查后，方可在巴西境内执行。当地主要仲裁机构包括巴西仲裁和调解中心、圣保罗仲裁庭等。 </w:t>
      </w:r>
    </w:p>
    <w:p w14:paraId="3D8AD730">
      <w:pPr>
        <w:numPr>
          <w:ilvl w:val="0"/>
          <w:numId w:val="32"/>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调解渠道</w:t>
      </w:r>
    </w:p>
    <w:p w14:paraId="6F711A2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2015年《调解法》正式确立调解的法律地位，分为司法调解与司法外调解；经法官确认的调解协议具备与判决同等的强制执行力。企业可在合同中约定调解前置条款，降低纠纷解决成本。</w:t>
      </w:r>
    </w:p>
    <w:p w14:paraId="718DFD19">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墨西哥</w:t>
      </w:r>
    </w:p>
    <w:p w14:paraId="2D655BBA">
      <w:pPr>
        <w:numPr>
          <w:ilvl w:val="0"/>
          <w:numId w:val="33"/>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外商投资审查制度</w:t>
      </w:r>
    </w:p>
    <w:p w14:paraId="247CB4C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墨西哥外商投资监管以《墨西哥合众国宪法》《外国投资法》为上位法依据，由联邦经济部下属国家外资委员会（CNIE）行使外资准入审批职权，所有外资市场主体均需在国家外资登记处（RNIE）完成主体登记后方可开展经营。 </w:t>
      </w:r>
    </w:p>
    <w:p w14:paraId="5F3017B3">
      <w:pPr>
        <w:numPr>
          <w:ilvl w:val="0"/>
          <w:numId w:val="34"/>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三级分类管控</w:t>
      </w:r>
    </w:p>
    <w:p w14:paraId="530A0CF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墨西哥外商投资准入实行三级分类管控。</w:t>
      </w:r>
    </w:p>
    <w:p w14:paraId="43A01887">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1.1 禁止领域</w:t>
      </w:r>
    </w:p>
    <w:p w14:paraId="6FD9C0B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第一类为禁止领域，核能开发、放射性矿产开采、邮政普遍服务、法定货币铸造、港口与机场管制等涉及国家主权与公共安全的战略专营领域，外资不得直接或间接持有权益。</w:t>
      </w:r>
    </w:p>
    <w:p w14:paraId="0FC420BA">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1.2 限制领域</w:t>
      </w:r>
    </w:p>
    <w:p w14:paraId="7228420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第二类为限制领域，爆炸物与民用弹药制造、国内报纸出版发行、内陆及沿海渔业、公共港口运营、民用航空运输等行业，外资持股比例上限为49%；外资拟突破持股限制，或并购交易标的资产超过年度公布门槛（2025年为286.24亿比索）的，需向国家外资委员会提交专项审批。</w:t>
      </w:r>
    </w:p>
    <w:p w14:paraId="0D7A0B2B">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1.3 鼓励领域</w:t>
      </w:r>
    </w:p>
    <w:p w14:paraId="1E0B379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第三类为鼓励领域，消费品制造、汽车整车及零部件、信息技术、生物医药、清洁能源等契合“墨西哥计划”产业导向的领域，可享受地方招商配套服务与流程便利。 </w:t>
      </w:r>
    </w:p>
    <w:p w14:paraId="2F600321">
      <w:pPr>
        <w:numPr>
          <w:ilvl w:val="0"/>
          <w:numId w:val="34"/>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地域管制</w:t>
      </w:r>
    </w:p>
    <w:p w14:paraId="1164E51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距海岸线50公里、陆地边境线100公里的管制区域内，外资不得直接取得土地所有权，仅可通过信托架构持有土地使用权，且需事先取得外交部核准。</w:t>
      </w:r>
    </w:p>
    <w:p w14:paraId="66B4ECCE">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（二）反垄断与经营者集中审查</w:t>
      </w:r>
    </w:p>
    <w:p w14:paraId="45ED920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墨西哥竞争法律体系以《墨西哥合众国宪法》第28条为宪制基础，以《联邦经济竞争法》为核心立法，配套行政法规及部门规章构成完整制度框架，由联邦经济竞争委员会（COFECE）统一行使反垄断行政执法职权，独立开展经营者集中审查与垄断行为查处。</w:t>
      </w:r>
    </w:p>
    <w:p w14:paraId="4608AFD3">
      <w:pPr>
        <w:numPr>
          <w:ilvl w:val="0"/>
          <w:numId w:val="35"/>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经营者集中审查</w:t>
      </w:r>
    </w:p>
    <w:p w14:paraId="564E06D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经营者集中审查实行事前申报制度。交易类型涵盖合并、取得股权或资产控制权、设立合营企业等。申报触发条件采用多元门槛标准：境内交易对价超过法定金额、收购目标30%以上股权且目标境内营业额达标、收购境内资产价值达标、或参与集中经营者境内营业额合计达标，满足任一条件即负有申报义务。上述金额门槛以年度测量和更新单位（UMAs）计，每年依法更新。</w:t>
      </w:r>
    </w:p>
    <w:p w14:paraId="0A697A78">
      <w:pPr>
        <w:numPr>
          <w:ilvl w:val="0"/>
          <w:numId w:val="35"/>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审查程序</w:t>
      </w:r>
    </w:p>
    <w:p w14:paraId="0B8BF39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审查程序分为初审与深审两阶段，自申报材料齐备之日起算。初审期内，委员会综合考察市场份额变动、市场集中度、进入壁垒、效率提升等因素，判断集中是否产生或加强市场支配地位、排除或限制有效竞争。审查结果分为无条件批准、附条件批准与禁止集中三类。特别复杂案件可依法延长期限。</w:t>
      </w:r>
    </w:p>
    <w:p w14:paraId="130C787E">
      <w:pPr>
        <w:numPr>
          <w:ilvl w:val="0"/>
          <w:numId w:val="35"/>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法律责任</w:t>
      </w:r>
    </w:p>
    <w:p w14:paraId="607739B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未依法申报或未经批准实施集中的，可按集团上一财年营业额的一定比例处以罚款；违反附条件批准决定或禁止决定的，罚款比例相应提高，委员会有权撤销交易。提供虚假信息的，另处罚款并可撤销已作出的批准。企业高管直接参与违法集中的，可同时追究个人罚款及任职禁止责任。</w:t>
      </w:r>
    </w:p>
    <w:p w14:paraId="58ECEC74">
      <w:pPr>
        <w:numPr>
          <w:ilvl w:val="0"/>
          <w:numId w:val="35"/>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救济途径</w:t>
      </w:r>
    </w:p>
    <w:p w14:paraId="1437FDF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对委员会最终决定不服的，可向经济竞争、广播和电信事务联邦专门法院提起宪法救济诉讼，该法院判决具有终局效力。</w:t>
      </w:r>
    </w:p>
    <w:p w14:paraId="43171F82">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（三）劳工合规</w:t>
      </w:r>
    </w:p>
    <w:p w14:paraId="6920A733">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墨西哥劳动法律体系以《联邦劳动法》为核心。</w:t>
      </w:r>
    </w:p>
    <w:p w14:paraId="24BB3BBA">
      <w:pPr>
        <w:numPr>
          <w:ilvl w:val="0"/>
          <w:numId w:val="3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用工本地化义务</w:t>
      </w:r>
    </w:p>
    <w:p w14:paraId="3DEF0D23">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除高级管理岗位外，企业墨西哥籍员工占比不得低于90%，外籍技术及专业人员占比不得超过10%，且外籍员工需承担本地员工技能培训职责；设立满2年的企业方可聘用外籍高级管理人员。 </w:t>
      </w:r>
    </w:p>
    <w:p w14:paraId="16D7C4E5">
      <w:pPr>
        <w:numPr>
          <w:ilvl w:val="0"/>
          <w:numId w:val="3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劳动合同管理</w:t>
      </w:r>
    </w:p>
    <w:p w14:paraId="6EA93C1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劳动合同分为个人合同与集体合同，均需采用书面形式并报联邦劳工调解和登记中心备案；无特别约定的视为无固定期限劳动合同，试用期最长不得超过180天，项目类用工可签订以完成一定工作为期限的合同。 </w:t>
      </w:r>
    </w:p>
    <w:p w14:paraId="6D7403D7">
      <w:pPr>
        <w:numPr>
          <w:ilvl w:val="0"/>
          <w:numId w:val="3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薪酬与法定福利</w:t>
      </w:r>
    </w:p>
    <w:p w14:paraId="16C4511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2026年一般地区最低日薪标准为315.04比索，北部边境自由区为440.87比索；雇主需承担员工社会保险、住房公积金及法定休假、年终奖金等福利，综合成本约为员工薪资的30%；企业需按年度应纳税所得额的10%向员工分配利润，分配上限为3个月工资。 </w:t>
      </w:r>
    </w:p>
    <w:p w14:paraId="04685859">
      <w:pPr>
        <w:numPr>
          <w:ilvl w:val="0"/>
          <w:numId w:val="3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工时与加班规范</w:t>
      </w:r>
    </w:p>
    <w:p w14:paraId="3211F22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标准工时为每周48小时，平日加班支付双倍工资，超时9小时以上支付三倍工资；每周加班超过9小时、每日超过3小时的，可构成劳动剥削罪，相关责任人最高处12年监禁。 </w:t>
      </w:r>
    </w:p>
    <w:p w14:paraId="75836EE6">
      <w:pPr>
        <w:numPr>
          <w:ilvl w:val="0"/>
          <w:numId w:val="3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工会权利保障</w:t>
      </w:r>
    </w:p>
    <w:p w14:paraId="4E42584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员工满20人即可依法组建工会，工会会费为工资的4%-6%，依法签订的集体合同对企业具有约束力。</w:t>
      </w:r>
    </w:p>
    <w:p w14:paraId="62408243">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（四）环境保护合规</w:t>
      </w:r>
    </w:p>
    <w:p w14:paraId="5FD23D9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墨西哥环境监管由环境和自然资源部（SEMARNAT）统筹行政管理，环保监察署（PROFEPA）负责执法监察。</w:t>
      </w:r>
    </w:p>
    <w:p w14:paraId="1F910633">
      <w:pPr>
        <w:numPr>
          <w:ilvl w:val="0"/>
          <w:numId w:val="3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强制环评制度</w:t>
      </w:r>
    </w:p>
    <w:p w14:paraId="19A7852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 矿业勘探开采、油气钻探、交通基础设施、工业制造等可能对生态环境造成影响的项目，必须在开工前提交环境影响报告书，申请环评行政许可；法定审批时限最长为60个工作日，重大复杂项目可延长60个工作日，未取得环评批复的项目不得开工建设。</w:t>
      </w:r>
    </w:p>
    <w:p w14:paraId="4AAD0775">
      <w:pPr>
        <w:numPr>
          <w:ilvl w:val="0"/>
          <w:numId w:val="3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环境标准体系</w:t>
      </w:r>
    </w:p>
    <w:p w14:paraId="6B03F3D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墨西哥官方标准（NOM）为强制执行标准，覆盖大气污染、水体保护、土壤管控、废弃物处置、森林与生物多样性保护等领域；墨西哥国家标准（NMX）为推荐性标准，若被NOM引用则同步具备强制效力。 </w:t>
      </w:r>
    </w:p>
    <w:p w14:paraId="11AF2F64">
      <w:pPr>
        <w:numPr>
          <w:ilvl w:val="0"/>
          <w:numId w:val="3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法律责任</w:t>
      </w:r>
    </w:p>
    <w:p w14:paraId="08B9DB8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环境违法行为可按情节处以按日连续计罚、责令停产整改、吊销生产许可，最高可对责任人处36小时行政拘留；逾期拒不整改的，罚款金额可累计翻倍。</w:t>
      </w:r>
    </w:p>
    <w:p w14:paraId="5D27BFD4">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（五）知识产权与商业秘密保护</w:t>
      </w:r>
    </w:p>
    <w:p w14:paraId="58F7168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墨西哥知识产权保护体系以《联邦知识产权保护法》《联邦版权法》为核心，由经济部下属工业产权局（IMPI）负责注册审查与行政执法。 </w:t>
      </w:r>
    </w:p>
    <w:p w14:paraId="1A285C8A">
      <w:pPr>
        <w:numPr>
          <w:ilvl w:val="0"/>
          <w:numId w:val="38"/>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专利保护</w:t>
      </w:r>
    </w:p>
    <w:p w14:paraId="1972DAA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可申请注册的专利包括发明、实用新型、外观设计、集成电路布图设计四类，专利权有效期为15年，期满不予续展；专利需满足新颖性、实用性法定要件，经工业产权局实质审查后授权生效。 </w:t>
      </w:r>
    </w:p>
    <w:p w14:paraId="663AD4D7">
      <w:pPr>
        <w:numPr>
          <w:ilvl w:val="0"/>
          <w:numId w:val="38"/>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商标保护</w:t>
      </w:r>
    </w:p>
    <w:p w14:paraId="7A04215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商标分为商品商标、服务商标、集体商标、认证商标四类，注册有效期为10年，期满可无限次续展；墨西哥为《马德里议定书》成员国，境内注册的商标可在89个缔约国范围内获得保护。 </w:t>
      </w:r>
    </w:p>
    <w:p w14:paraId="0B7FA2EF">
      <w:pPr>
        <w:numPr>
          <w:ilvl w:val="0"/>
          <w:numId w:val="38"/>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版权保护</w:t>
      </w:r>
    </w:p>
    <w:p w14:paraId="3A9A516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计算机软件等作品自创作完成之日起自动享有版权，版权登记为自愿程序；版权人依法享有出版、复制、发行、改编等专有权利。 </w:t>
      </w:r>
    </w:p>
    <w:p w14:paraId="4D3217E3">
      <w:pPr>
        <w:numPr>
          <w:ilvl w:val="0"/>
          <w:numId w:val="38"/>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侵权责任</w:t>
      </w:r>
    </w:p>
    <w:p w14:paraId="15CB4B2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知识产权侵权经查实的，可处最高5000倍官方参考指数的罚款，按日加收滞纳金，情节严重的责令停业整顿，相关责任人最高可处6年有期徒刑。 </w:t>
      </w:r>
    </w:p>
    <w:p w14:paraId="330E583B">
      <w:pPr>
        <w:numPr>
          <w:ilvl w:val="0"/>
          <w:numId w:val="38"/>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商业秘密</w:t>
      </w:r>
    </w:p>
    <w:p w14:paraId="485B931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商业秘密可通过合同约定、内部保密制度予以保护，泄露商业秘密的可依法主张民事赔偿乃至刑事追责。</w:t>
      </w:r>
    </w:p>
    <w:p w14:paraId="7C26DA61">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（六）数据安全与隐私合规</w:t>
      </w:r>
    </w:p>
    <w:p w14:paraId="7994B33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墨西哥数据保护以《联邦私人数据保护法》为核心立法，配套《金融技术法》《电子签名法》等专项规则。</w:t>
      </w:r>
    </w:p>
    <w:p w14:paraId="58AB7E06">
      <w:pPr>
        <w:numPr>
          <w:ilvl w:val="0"/>
          <w:numId w:val="3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数据处理基本原则</w:t>
      </w:r>
    </w:p>
    <w:p w14:paraId="460E859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处理自然人个人数据需遵循合法、正当、必要原则，取得数据主体的明示同意，明确告知数据处理的目的、范围、留存期限及数据主体权利。 </w:t>
      </w:r>
    </w:p>
    <w:p w14:paraId="36270044">
      <w:pPr>
        <w:numPr>
          <w:ilvl w:val="0"/>
          <w:numId w:val="3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数据主体权利保障</w:t>
      </w:r>
    </w:p>
    <w:p w14:paraId="1141FC7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个人对其数据享有知情权、访问权、更正权、删除权、拒绝权等，企业需建立专门的响应与处理机制，及时回应数据主体的合法诉求。 </w:t>
      </w:r>
    </w:p>
    <w:p w14:paraId="2B7EE07C">
      <w:pPr>
        <w:numPr>
          <w:ilvl w:val="0"/>
          <w:numId w:val="3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跨境数据传输规则</w:t>
      </w:r>
    </w:p>
    <w:p w14:paraId="3D76AF9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依据《美墨加协定》，墨西哥不强制要求数据本地化存储，数据可自由跨境传输，但企业需确保数据接收方具备同等水平的保护能力。 </w:t>
      </w:r>
    </w:p>
    <w:p w14:paraId="0D3A2233">
      <w:pPr>
        <w:numPr>
          <w:ilvl w:val="0"/>
          <w:numId w:val="3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法律责任</w:t>
      </w:r>
    </w:p>
    <w:p w14:paraId="0A3EADD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违反数据保护规定的，可处以罚款、责令暂停相关业务，情节严重的追究相关负责人的法律责任。</w:t>
      </w:r>
    </w:p>
    <w:p w14:paraId="219EA948">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（七）反商业贿赂合规</w:t>
      </w:r>
    </w:p>
    <w:p w14:paraId="5ED0E2C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墨西哥反腐败法律体系以《国家反腐败系统一般法》《行政责任一般法》《联邦刑法典》为核心，全面规制商业领域的贿赂行为。 </w:t>
      </w:r>
    </w:p>
    <w:p w14:paraId="0E98F245">
      <w:pPr>
        <w:numPr>
          <w:ilvl w:val="0"/>
          <w:numId w:val="40"/>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行为界定</w:t>
      </w:r>
    </w:p>
    <w:p w14:paraId="1C92EBD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直接或通过第三方向公职人员提供、承诺金钱、财物、服务或其他不正当利益，以换取其履职便利或谋取不当竞争优势的，构成行贿罪；公职人员利用职权索取、收受不正当利益的，构成受贿罪。行贿与受贿双方均需承担法律责任。 </w:t>
      </w:r>
    </w:p>
    <w:p w14:paraId="4B6ED92B">
      <w:pPr>
        <w:numPr>
          <w:ilvl w:val="0"/>
          <w:numId w:val="40"/>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处罚标准</w:t>
      </w:r>
    </w:p>
    <w:p w14:paraId="768E31B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对行贿个人，可处以经济罚款、取消公共采购参与资格，最高处20年有期徒刑；对行贿企业，可处3个月至3年停业整顿，情节严重的吊销法人资格，并处违法所得2倍以下罚款。企业主动披露违规行为、配合调查并主动赔偿损失的，可酌情从轻处罚。 </w:t>
      </w:r>
    </w:p>
    <w:p w14:paraId="481542CB">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（八）争议解决</w:t>
      </w:r>
    </w:p>
    <w:p w14:paraId="72B04A5F">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 司法诉讼</w:t>
      </w:r>
    </w:p>
    <w:p w14:paraId="70221C8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墨西哥实行联邦与州两级司法体系，商事纠纷主要适用《商法典》《国家民事和家庭诉讼法典》；当地诉讼程序环节繁琐、审理周期较长，诉讼过程中可依法申请财产保全与证据保全。 </w:t>
      </w:r>
    </w:p>
    <w:p w14:paraId="67ADC80D">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2. 行政救济</w:t>
      </w:r>
    </w:p>
    <w:p w14:paraId="10E0868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针对行政机关作出的行政许可、行政处罚等行政行为，企业可依据《联邦行政程序法》申请行政复议，对复议决定不服的，可提起行政诉讼。</w:t>
      </w:r>
    </w:p>
    <w:p w14:paraId="10966AF3">
      <w:pPr>
        <w:numPr>
          <w:ilvl w:val="0"/>
          <w:numId w:val="40"/>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仲裁途径</w:t>
      </w:r>
    </w:p>
    <w:p w14:paraId="743A1AA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墨西哥为《承认及执行外国仲裁裁决公约》（即纽约公约）、《泛美国际商业仲裁公约》（即巴拿马公约）、《解决国家与他国国民之间投资争议公约》（即华盛顿公约）成员国，依法承认与执行国际仲裁裁决；企业可在合同中约定仲裁条款，选择国际商事仲裁机构或墨西哥本地仲裁机构解决争议。</w:t>
      </w:r>
    </w:p>
    <w:p w14:paraId="14C8CD28">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阿根廷</w:t>
      </w:r>
    </w:p>
    <w:p w14:paraId="33BA6781">
      <w:pPr>
        <w:numPr>
          <w:ilvl w:val="0"/>
          <w:numId w:val="4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外商投资审查制度</w:t>
      </w:r>
    </w:p>
    <w:p w14:paraId="11218DD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阿根廷以第21382号《外国投资法》及1993年第1853号法令为核心外资监管框架，原则上给予外资国民待遇，未设立专门的外资前置审批机构，除军事领域外，外资可进入绝大多数行业开展投资经营。</w:t>
      </w:r>
    </w:p>
    <w:p w14:paraId="4F4C347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外资企业在当地设立市场主体，需向阿根廷司法监察总局（IGJ）提交公司章程、主体资质文件等材料，完成商事登记后方可开展经营；外国公司设立分公司的，还需定期向IGJ报送财务状况接受监管。</w:t>
      </w:r>
    </w:p>
    <w:p w14:paraId="3986C47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针对2亿美元以上的大型战略投资项目，适用大型投资激励制度（RIGI），由专门评估委员会对项目资质、合规性进行审查，通过后可享受税收、外汇等专项优惠。</w:t>
      </w:r>
    </w:p>
    <w:p w14:paraId="022C5C15">
      <w:pPr>
        <w:numPr>
          <w:ilvl w:val="0"/>
          <w:numId w:val="4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反垄断与经营者集中审查</w:t>
      </w:r>
    </w:p>
    <w:p w14:paraId="7AD54A5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阿根廷反垄断与经营者集中监管的核心法律为第 27442 号《竞争保护法》，执法机构为阿根廷经济部下属国家竞争保护委员会。 </w:t>
      </w:r>
    </w:p>
    <w:p w14:paraId="6392256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该国实行交割前经营者集中申报制度，达到法定标准的集中交易，需在交割前向竞争保护委员会提交申报，未经审查通过不得实施集中。2021年阿根廷对反垄断规则作出修订：取消经营者集中的默示批准规则，所有申报均需经官方明确答复；取消涉案企业的宽大处理与和解机制，限制执法机构与企业就违法事项进行谈判；将调查周期压缩至8个月，同时禁止就横向协议启动协商程序。 </w:t>
      </w:r>
    </w:p>
    <w:p w14:paraId="78B2C97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外资并购阿根廷境内企业同样适用上述规则，无特殊豁免待遇。若交易涉及市场份额显著提升、可能产生排除限制竞争效果的，执法机构可作出禁止集中、附加限制性条件等决定；违法实施集中的，将面临高额罚金等法律责任。</w:t>
      </w:r>
    </w:p>
    <w:p w14:paraId="7DE8F37C">
      <w:pPr>
        <w:numPr>
          <w:ilvl w:val="0"/>
          <w:numId w:val="4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劳工合规</w:t>
      </w:r>
    </w:p>
    <w:p w14:paraId="6CD1E10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阿根廷劳动监管体系以第20744号《劳动合同法》、第25877号《劳动条例法》为核心，2024年《基础法案》对劳工规则作出重要调整。 </w:t>
      </w:r>
    </w:p>
    <w:p w14:paraId="4AB34CB8">
      <w:pPr>
        <w:numPr>
          <w:ilvl w:val="0"/>
          <w:numId w:val="42"/>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劳动合同</w:t>
      </w:r>
    </w:p>
    <w:p w14:paraId="5B93141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无固定期限劳动合同试用期为6个月，6-100人规模企业可延长至8个月，5人及以下企业可延长至1年；解雇员工需根据工作年限支付经济补偿，违法解雇的需双倍支付赔偿。</w:t>
      </w:r>
    </w:p>
    <w:p w14:paraId="3475DF97">
      <w:pPr>
        <w:numPr>
          <w:ilvl w:val="0"/>
          <w:numId w:val="42"/>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薪酬福利</w:t>
      </w:r>
    </w:p>
    <w:p w14:paraId="290F70A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实行双薪制度，每年6月、12月需向员工发放额外薪金（单次为半年度最高月薪的50%）；企业需按员工工资的23%-27%缴纳社会保险（涵盖养老、医疗、失业等），员工个人承担约17%。 </w:t>
      </w:r>
    </w:p>
    <w:p w14:paraId="5061BDD7">
      <w:pPr>
        <w:numPr>
          <w:ilvl w:val="0"/>
          <w:numId w:val="42"/>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工会与外籍用工</w:t>
      </w:r>
    </w:p>
    <w:p w14:paraId="50BCAEA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工会组织在阿根廷影响力较强，行业集体谈判对薪酬、用工条件有约束力，罢工活动较为频繁。企业需依法处理工会关系，遵守集体合同约定。外籍员工上岗需取得内政部移民局签发的工作许可，部分省份对项目本地化用工比例有明确要求。</w:t>
      </w:r>
    </w:p>
    <w:p w14:paraId="71853CCB">
      <w:pPr>
        <w:numPr>
          <w:ilvl w:val="0"/>
          <w:numId w:val="4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环境保护合规</w:t>
      </w:r>
    </w:p>
    <w:p w14:paraId="1F7A28D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阿根廷环境保护的基础法律为第25675号《环境法》与第25612号《工业及服务活动废弃物综合管理法》，另针对危险废物、大气保护、水资源、核能污染等领域出台专项法规。 </w:t>
      </w:r>
    </w:p>
    <w:p w14:paraId="2C7C9126">
      <w:pPr>
        <w:numPr>
          <w:ilvl w:val="0"/>
          <w:numId w:val="43"/>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环境影响评价制度</w:t>
      </w:r>
    </w:p>
    <w:p w14:paraId="41D933A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对生态环境或居民生活可能造成重大影响的投资、生产项目，需事先编制环境影响评价报告，报总统府环境副国务秘书处审批通过后方可实施。</w:t>
      </w:r>
    </w:p>
    <w:p w14:paraId="449E4C47">
      <w:pPr>
        <w:numPr>
          <w:ilvl w:val="0"/>
          <w:numId w:val="43"/>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强制生态保险制度</w:t>
      </w:r>
    </w:p>
    <w:p w14:paraId="07E120C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从事具有环境风险生产活动的主体，必须投保生态责任保险。</w:t>
      </w:r>
    </w:p>
    <w:p w14:paraId="62B2413C">
      <w:pPr>
        <w:numPr>
          <w:ilvl w:val="0"/>
          <w:numId w:val="43"/>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法律责任</w:t>
      </w:r>
    </w:p>
    <w:p w14:paraId="6B7D92A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企业违反环保法规的，将面临行政罚款、停产整治，情节严重的还将追究刑事责任。</w:t>
      </w:r>
    </w:p>
    <w:p w14:paraId="4B710F07">
      <w:pPr>
        <w:numPr>
          <w:ilvl w:val="0"/>
          <w:numId w:val="4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知识产权与商业秘密保护</w:t>
      </w:r>
    </w:p>
    <w:p w14:paraId="4B5A561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阿根廷是《巴黎公约》《伯尔尼公约》等多个国际知识产权条约缔约国，国内知识产权法律体系包括第24481号《专利权保护法》、第22362号《商标法》、第11723号《著作权法》，由经济部下属国家工业产权局负责行政管理。 </w:t>
      </w:r>
    </w:p>
    <w:p w14:paraId="63A55BF6">
      <w:pPr>
        <w:numPr>
          <w:ilvl w:val="0"/>
          <w:numId w:val="44"/>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专利保护</w:t>
      </w:r>
    </w:p>
    <w:p w14:paraId="59C5E1A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发明专利保护期为20年，实用新型（模型专利）保护期为10年，均不可续展，需向国家工业产权局申请并经审查授权。</w:t>
      </w:r>
    </w:p>
    <w:p w14:paraId="176DC198">
      <w:pPr>
        <w:numPr>
          <w:ilvl w:val="0"/>
          <w:numId w:val="44"/>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商标保护</w:t>
      </w:r>
    </w:p>
    <w:p w14:paraId="68A8B17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采用注册取得原则，注册商标有效期为10年，每10年可申请续展，需满足到期前5年内实际使用的要求。</w:t>
      </w:r>
    </w:p>
    <w:p w14:paraId="2AAD2CD9">
      <w:pPr>
        <w:numPr>
          <w:ilvl w:val="0"/>
          <w:numId w:val="44"/>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著作权保护</w:t>
      </w:r>
    </w:p>
    <w:p w14:paraId="509E5C0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自然人作品著作权保护期为作者终身及去世后50年，法人作品保护期为首次发表后50年。</w:t>
      </w:r>
    </w:p>
    <w:p w14:paraId="663D07D4">
      <w:pPr>
        <w:numPr>
          <w:ilvl w:val="0"/>
          <w:numId w:val="44"/>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商业秘密保护</w:t>
      </w:r>
    </w:p>
    <w:p w14:paraId="4E622BF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商业秘密受刑法及反不正当竞争规则保护，故意侵犯商业秘密的，可处6至12个月监禁及罚金；企业可通过保密协议、权限管控等方式落实商业秘密保护。</w:t>
      </w:r>
    </w:p>
    <w:p w14:paraId="273D049C">
      <w:pPr>
        <w:numPr>
          <w:ilvl w:val="0"/>
          <w:numId w:val="4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数据安全与隐私合规</w:t>
      </w:r>
    </w:p>
    <w:p w14:paraId="6AE6ADC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阿根廷个人数据保护的核心法律为第25326号《个人数据保护法》，同时数字经济领域适用第27078号《信息和通信技术法》、第27506号《知识经济法》等法规。 </w:t>
      </w:r>
    </w:p>
    <w:p w14:paraId="2EA4EA8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数据处理需遵循合法、正当、必要、目的限定等基本原则，数据主体享有知情权、访问权、更正权、删除权等法定权利。处理个人数据需具备合法依据，涉及敏感个人数据的需取得数据主体的明确同意。数据跨境传输方面，向境外传输个人数据需确保接收方具备同等水平的数据保护能力，或取得数据主体的明示同意。 </w:t>
      </w:r>
    </w:p>
    <w:p w14:paraId="07C725D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针对境外主体在阿根廷境内提供数字服务的，按8%税率征收数字服务税。公共部门数据管理需符合国家数据中心的安全规范，企业开展数字化运营需建立内部数据治理机制，落实数据存储、传输、使用全流程合规要求。</w:t>
      </w:r>
    </w:p>
    <w:p w14:paraId="7E02DA21">
      <w:pPr>
        <w:numPr>
          <w:ilvl w:val="0"/>
          <w:numId w:val="4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反商业贿赂合规</w:t>
      </w:r>
    </w:p>
    <w:p w14:paraId="4E7712F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阿根廷反商业贿赂执法机构为司法部下设反贪办公室，适用法律包括第25233号、第24946号、第24759号等反腐败相关法律，同时阿根廷作为《联合国反腐败公约》缔约国，规制范围涵盖境内商业贿赂及境外贿赂行为。 </w:t>
      </w:r>
    </w:p>
    <w:p w14:paraId="491F1B4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法律禁止企业及个人向公职人员提供或承诺提供任何不正当利益，以换取行政许可、项目承揽、政策倾斜等不当利益。商业贿赂行为一经查实，涉案个人将面临监禁、罚金等刑事处罚，涉案企业将被处以高额罚款，同时可能被剥夺参与公共采购的资格。 </w:t>
      </w:r>
    </w:p>
    <w:p w14:paraId="4966E15D">
      <w:pPr>
        <w:numPr>
          <w:ilvl w:val="0"/>
          <w:numId w:val="4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争议解决</w:t>
      </w:r>
    </w:p>
    <w:p w14:paraId="0AE093D1">
      <w:pPr>
        <w:numPr>
          <w:ilvl w:val="0"/>
          <w:numId w:val="45"/>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协商与调解</w:t>
      </w:r>
    </w:p>
    <w:p w14:paraId="6493630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协商是争议解决的首选方式，由双方当事人自主谈判达成和解。若协商不成，可申请阿根廷贸易和服务商会等第三方机构进行调解，调解结果对双方具有一定约束力。 </w:t>
      </w:r>
    </w:p>
    <w:p w14:paraId="054B2D42">
      <w:pPr>
        <w:numPr>
          <w:ilvl w:val="0"/>
          <w:numId w:val="45"/>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诉讼</w:t>
      </w:r>
    </w:p>
    <w:p w14:paraId="3014006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诉讼途径适用阿根廷《民商法典》及相关程序法，由当地有管辖权的法院审理，程序周期相对较长。 </w:t>
      </w:r>
    </w:p>
    <w:p w14:paraId="0A60A845">
      <w:pPr>
        <w:numPr>
          <w:ilvl w:val="0"/>
          <w:numId w:val="45"/>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仲裁</w:t>
      </w:r>
    </w:p>
    <w:p w14:paraId="067A24D6">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lang w:val="en-US"/>
        </w:rPr>
        <w:t>阿根廷2018年出台《国际商事仲裁法》，遵循联合国国际贸易法委员会（UNCITRAL）示范法，承认国际仲裁裁决的可执行性；允许当事人自由选择仲裁机构与仲裁地，但裁决内容违反阿根廷公共秩序的，可被法院撤销。涉及与阿根廷政府的投资争议，需先穷尽当地行政与司法救济途径，再可依据中阿双边投资保护协定提请国际仲裁。</w:t>
      </w:r>
    </w:p>
    <w:p w14:paraId="28A40EAF">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智利</w:t>
      </w:r>
    </w:p>
    <w:p w14:paraId="35DB8145">
      <w:pPr>
        <w:numPr>
          <w:ilvl w:val="0"/>
          <w:numId w:val="4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外商投资审查制度</w:t>
      </w:r>
    </w:p>
    <w:p w14:paraId="40FB0A8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智利外商投资主管部门为经济部下属外国投资促进局（Invest Chile），监管核心依据为2015年颁布的第20848号《外国直接投资法》。智利对外资原则上实行国民待遇，整体准入门槛较低，仅在部分领域设置准入限制。 </w:t>
      </w:r>
    </w:p>
    <w:p w14:paraId="79CFF4C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资金入境层面，外国投资需通过商业银行向智利中央银行报备，单笔10万美元以内或12个月累计低于10万美元的投资可直接办理；超出规模的资金需经央行合规审核。外资企业完成设立登记后，可向投资促进局申请核发外国投资商证书，享受法定投资权益。</w:t>
      </w:r>
    </w:p>
    <w:p w14:paraId="39EE22F3">
      <w:pPr>
        <w:numPr>
          <w:ilvl w:val="0"/>
          <w:numId w:val="4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反垄断与经营者集中审查</w:t>
      </w:r>
    </w:p>
    <w:p w14:paraId="7FBFA80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智利反垄断监管以1973年第211号法令为核心法律依据，由国家经济检察官办公室（FNE）负责执法，保护自由竞争法庭行使裁决权，规制范围涵盖经营者集中、垄断协议、滥用市场支配地位三类垄断行为。</w:t>
      </w:r>
    </w:p>
    <w:p w14:paraId="769D257F">
      <w:pPr>
        <w:numPr>
          <w:ilvl w:val="0"/>
          <w:numId w:val="4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经营者集中</w:t>
      </w:r>
    </w:p>
    <w:p w14:paraId="05B4722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经营者集中实行法定申报制度，覆盖经营者合并、股权/资产收购取得控制权、设立合营企业三类交易。申报门槛采用营业额标准：全部参与集中的经营者上一财年境内营业额合计超过250万个发展单位，或至少两方境内营业额均超过45万个发展单位；收购竞争对手10%以上股权且双方营业额均超10万个发展单位的，需在交割后60日内补充申报。发展单位数值以智利中央银行上年度公布数据为准。</w:t>
      </w:r>
    </w:p>
    <w:p w14:paraId="768BDCC4">
      <w:pPr>
        <w:numPr>
          <w:ilvl w:val="0"/>
          <w:numId w:val="4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审查程序</w:t>
      </w:r>
    </w:p>
    <w:p w14:paraId="6EA1378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审查程序分两阶段推进，第一阶段30个工作日，第二阶段90个工作日，可因提交救济方案等事项暂停计算审限。审查综合评估市场份额、市场集中度、市场进入壁垒、买方力量、效率效应等因素，出具无条件批准、附条件批准或禁止集中的审查结论。</w:t>
      </w:r>
    </w:p>
    <w:p w14:paraId="39DCE8E0">
      <w:pPr>
        <w:numPr>
          <w:ilvl w:val="0"/>
          <w:numId w:val="4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法律责任</w:t>
      </w:r>
    </w:p>
    <w:p w14:paraId="6ADEAC5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违法实施集中、达成垄断协议或滥用市场支配地位的，企业最高可处涉案销售额30%或60000个年度税制单位的罚款，可并处禁止承接政府项目；相关责任人员可处罚款及3至10年监禁。</w:t>
      </w:r>
    </w:p>
    <w:p w14:paraId="7B85A28C">
      <w:pPr>
        <w:numPr>
          <w:ilvl w:val="0"/>
          <w:numId w:val="4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劳工合规</w:t>
      </w:r>
    </w:p>
    <w:p w14:paraId="50B9D04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智利劳动监管以《劳动法》为核心，配套规则随社会政策动态调整。</w:t>
      </w:r>
    </w:p>
    <w:p w14:paraId="0377A0D7">
      <w:pPr>
        <w:numPr>
          <w:ilvl w:val="0"/>
          <w:numId w:val="48"/>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用工配额限制</w:t>
      </w:r>
    </w:p>
    <w:p w14:paraId="1F620D4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雇员总数25人以上的企业，外籍员工占比不得超过15%，本土无法替代的专业技术岗位可申请适当放宽。 </w:t>
      </w:r>
    </w:p>
    <w:p w14:paraId="0FA541D4">
      <w:pPr>
        <w:numPr>
          <w:ilvl w:val="0"/>
          <w:numId w:val="48"/>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工时与休假</w:t>
      </w:r>
    </w:p>
    <w:p w14:paraId="51DB295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逐步推行每周40小时工作制，大中型企业1年内完成过渡，小微企业5年内逐步下调；每日工作时段需保留至少30分钟午休；加班仅适用于临时生产需求，报酬为正常时薪的2至3倍。员工工龄满1年享有15天带薪年假，每满3年增加1天，南部艾森、麦哲伦大区员工年假为20天。</w:t>
      </w:r>
    </w:p>
    <w:p w14:paraId="5FCE122C">
      <w:pPr>
        <w:numPr>
          <w:ilvl w:val="0"/>
          <w:numId w:val="48"/>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薪酬与社保</w:t>
      </w:r>
    </w:p>
    <w:p w14:paraId="7F9C0FD3">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最低工资每年动态调整，自2026年5月1日起，18-65岁普通劳动者的最低工资为553,553比索/月，18岁以下及65岁以上劳动者的最低工资为412,938比索/月。法定社保包含10%养老保险、7%医疗保险、2.4%失业保险及0.95%工伤保险，高风险工种工伤保险费率上浮。 </w:t>
      </w:r>
    </w:p>
    <w:p w14:paraId="21181CCC">
      <w:pPr>
        <w:numPr>
          <w:ilvl w:val="0"/>
          <w:numId w:val="48"/>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解雇规则</w:t>
      </w:r>
    </w:p>
    <w:p w14:paraId="35157D6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雇主因经营需要解雇员工的，工龄每满1年支付1个月工资遣散费，未提前30天告知的需额外支付1个月工资补偿金。 </w:t>
      </w:r>
    </w:p>
    <w:p w14:paraId="147984BC">
      <w:pPr>
        <w:numPr>
          <w:ilvl w:val="0"/>
          <w:numId w:val="48"/>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工会</w:t>
      </w:r>
    </w:p>
    <w:p w14:paraId="14E5D46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智利工会组织活跃度高，8人以上即可组建工会，企业应依法开展集体协商，妥善处理劳资分歧。</w:t>
      </w:r>
    </w:p>
    <w:p w14:paraId="50112391">
      <w:pPr>
        <w:numPr>
          <w:ilvl w:val="0"/>
          <w:numId w:val="4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环境保护合规</w:t>
      </w:r>
    </w:p>
    <w:p w14:paraId="3C8E507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智利环境监管体系完善、执法严格，主管机构为环境部及各大区环境秘书处。</w:t>
      </w:r>
    </w:p>
    <w:p w14:paraId="3AB19017">
      <w:pPr>
        <w:numPr>
          <w:ilvl w:val="0"/>
          <w:numId w:val="4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环境影响评价制度</w:t>
      </w:r>
    </w:p>
    <w:p w14:paraId="48F1984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所有重大投资项目实行环境影响评价制度，由国家环境评估局（SEA）及大区分支机构负责审查。需提交环评报告的项目包括3MW以上发电厂、高压输变电、大型水利工程、交通基建、矿业开发、规模化工业生产、绿氢全产业链等七大类。环评周期差异较大，简单项目数十天可获批，存在争议的项目可能耗时数年，甚至已获批的许可也可能因公众反对被撤销。 </w:t>
      </w:r>
    </w:p>
    <w:p w14:paraId="776C828F">
      <w:pPr>
        <w:numPr>
          <w:ilvl w:val="0"/>
          <w:numId w:val="4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税费</w:t>
      </w:r>
    </w:p>
    <w:p w14:paraId="18D997D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智利针对功率50MW以上的固定排放设施征收“绿色税”，氮氧化物、二氧化硫及粉尘0.1美元/吨，二氧化碳5美元/吨；企业参与碳交易市场的减排量可申请部分抵免。 </w:t>
      </w:r>
    </w:p>
    <w:p w14:paraId="6EA20E1B">
      <w:pPr>
        <w:numPr>
          <w:ilvl w:val="0"/>
          <w:numId w:val="4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知识产权与商业秘密保护</w:t>
      </w:r>
    </w:p>
    <w:p w14:paraId="5A041233">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智利知识产权监管依据为第17336号《知识产权法》与第19039号《工业产权保护法》，由经济部国家知识产权局（INAPI）负责管理。 </w:t>
      </w:r>
    </w:p>
    <w:p w14:paraId="693B1A0C">
      <w:pPr>
        <w:numPr>
          <w:ilvl w:val="0"/>
          <w:numId w:val="50"/>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专利权保护</w:t>
      </w:r>
    </w:p>
    <w:p w14:paraId="1B63314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发明专利保护期限20年，实用新型、外观设计保护期限10年，均自申请日起算；申请需以西班牙语提交至INAPI，经过预审、公示、实审等流程，整体周期约2年。 </w:t>
      </w:r>
    </w:p>
    <w:p w14:paraId="476722E0">
      <w:pPr>
        <w:numPr>
          <w:ilvl w:val="0"/>
          <w:numId w:val="50"/>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商标权保护</w:t>
      </w:r>
    </w:p>
    <w:p w14:paraId="5AB1C54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商标注册有效期10年，期满可无限次续展，按《尼斯商标分类法》申请；外国知名商标权利人可在商标注册之日起5年内，以知名度为由提出注销异议。 </w:t>
      </w:r>
    </w:p>
    <w:p w14:paraId="70EA8085">
      <w:pPr>
        <w:numPr>
          <w:ilvl w:val="0"/>
          <w:numId w:val="50"/>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著作权保护</w:t>
      </w:r>
    </w:p>
    <w:p w14:paraId="6F5169F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智利未明确将计算机软件纳入保护范畴，软件盗版风险相对较高，侵权刑事处罚力度偏弱。</w:t>
      </w:r>
    </w:p>
    <w:p w14:paraId="215A5E07">
      <w:pPr>
        <w:numPr>
          <w:ilvl w:val="0"/>
          <w:numId w:val="50"/>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商业秘密保护</w:t>
      </w:r>
    </w:p>
    <w:p w14:paraId="22D608C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智利针对商业秘密无专门立法，企业可通过合同约定、保密协议等方式予以保护，发生侵权可主张民事赔偿，情节严重的可追究行政责任。</w:t>
      </w:r>
    </w:p>
    <w:p w14:paraId="081BE37C">
      <w:pPr>
        <w:numPr>
          <w:ilvl w:val="0"/>
          <w:numId w:val="4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数据安全与隐私合规</w:t>
      </w:r>
    </w:p>
    <w:p w14:paraId="30F2C51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智利数据与隐私监管体系持续升级，现行基础法律为《私人生活保护法》，2026年12月第21719号《个人数据保护法令》将正式生效，届时将设立独立的个人数据保护局作为监管机构，处罚上限提升至约139万美元，可并处30天数据使用暂停，同时强化对健康、生物识别、未成年人等敏感数据的特殊保护，赋予用户数据删除权、反对处理权等法定权利。 </w:t>
      </w:r>
    </w:p>
    <w:p w14:paraId="6C7EFFC7">
      <w:pPr>
        <w:numPr>
          <w:ilvl w:val="0"/>
          <w:numId w:val="4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反商业贿赂合规</w:t>
      </w:r>
    </w:p>
    <w:p w14:paraId="5F2776F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智利反商业贿赂核心依据为第20393号《法人实体刑事责任法》，规制对象为法人及相关责任人。该法界定两类商业贿赂犯罪：（1）向公职人员行贿：即为谋取不当利益，给予公职人员经济好处以换取其履职作为或不作为；（2）向外国公职人员行贿：即为获取或维持国际交易利益向境外公职人员行贿。两类行贿均需满足法人行为、为法人牟利、妨害公务正当性三个构成要件。处罚措施较为严厉，可对涉事法人予以解散、永久或临时禁止与政府交易、罚没违法所得、处以200至20000个UTM（月度税收单位）罚款，同时可判决公开披露处罚结果。责任承担实行连带制，企业相关负责人需承担同等金额罚款；企业解散的，由股东按持股比例分担罚款。 </w:t>
      </w:r>
    </w:p>
    <w:p w14:paraId="080CD84D">
      <w:pPr>
        <w:numPr>
          <w:ilvl w:val="0"/>
          <w:numId w:val="4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争议解决</w:t>
      </w:r>
    </w:p>
    <w:p w14:paraId="6FD2B64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合同争议方面，若合同未约定准据法且签署地位于智利，默认适用智利法律，由被告住所地法院管辖；当事人也可在合同中约定适用其他国家法律，或选定仲裁机构与仲裁规则。 </w:t>
      </w:r>
    </w:p>
    <w:p w14:paraId="01A76D0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投资争端方面，企业与智利政府之间因投资协议产生的争端，可提交国际投资争端解决中心（CIADI）申请仲裁。 </w:t>
      </w:r>
    </w:p>
    <w:p w14:paraId="0F0E780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普通商事纠纷可向圣地亚哥商会申请仲裁，也可向有管辖权的法院提起民事诉讼；劳动争议需优先通过内部协商、工会调解处理，也可向劳动监管部门投诉，或诉至专门劳动法院。 </w:t>
      </w:r>
    </w:p>
    <w:p w14:paraId="7EB8F66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需注意的是，智利司法程序整体周期较长，建议企业优先采用协商、调解方式化解纠纷；签订合同时明确约定争议解决条款，优先选择机构仲裁以提升处置效率；涉及公共项目的争议，可同步与主管行政部门沟通，推动争议实质性化解。</w:t>
      </w:r>
    </w:p>
    <w:p w14:paraId="38D417BB">
      <w:pPr>
        <w:pStyle w:val="26"/>
        <w:numPr>
          <w:ilvl w:val="1"/>
          <w:numId w:val="6"/>
        </w:numPr>
        <w:spacing w:before="120" w:beforeLines="50" w:after="120" w:afterLines="50" w:line="360" w:lineRule="auto"/>
        <w:jc w:val="center"/>
        <w:outlineLvl w:val="2"/>
        <w:rPr>
          <w:rFonts w:ascii="Times New Roman" w:hAnsi="Times New Roman"/>
          <w:b/>
          <w:bCs/>
          <w:sz w:val="28"/>
          <w:szCs w:val="28"/>
          <w:lang w:val="en-GB"/>
        </w:rPr>
      </w:pPr>
      <w:r>
        <w:rPr>
          <w:rFonts w:hint="eastAsia" w:ascii="Times New Roman" w:hAnsi="Times New Roman"/>
          <w:b/>
          <w:bCs/>
          <w:sz w:val="28"/>
          <w:szCs w:val="28"/>
          <w:lang w:val="en-GB"/>
        </w:rPr>
        <w:t xml:space="preserve"> </w:t>
      </w:r>
      <w:bookmarkStart w:id="44" w:name="_Toc1560685697"/>
      <w:r>
        <w:rPr>
          <w:rFonts w:hint="eastAsia" w:ascii="Times New Roman" w:hAnsi="Times New Roman"/>
          <w:b/>
          <w:bCs/>
          <w:sz w:val="28"/>
          <w:szCs w:val="28"/>
          <w:lang w:val="en-GB"/>
        </w:rPr>
        <w:t>欧洲地区</w:t>
      </w:r>
      <w:bookmarkEnd w:id="44"/>
    </w:p>
    <w:p w14:paraId="3B9F37B3">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欧盟规则</w:t>
      </w:r>
    </w:p>
    <w:p w14:paraId="6628B4E7">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欧盟FDI审查新条例</w:t>
      </w:r>
      <w:r>
        <w:rPr>
          <w:rFonts w:hint="eastAsia" w:ascii="Times New Roman" w:hAnsi="Times New Roman"/>
          <w:b/>
          <w:bCs/>
          <w:sz w:val="28"/>
          <w:szCs w:val="28"/>
          <w:lang w:val="en-GB"/>
        </w:rPr>
        <w:t>（FDI）</w:t>
      </w:r>
    </w:p>
    <w:p w14:paraId="055F272F">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欧盟外资安全审查制度正经历重大升级。2026年6月8日，欧盟理事会正式通过修订后的《外国直接投资审查条例》（Regulation (EU) 2026/1386），新条例于2026年7月16日生效，并自2028年1月17日起全面适用，届时废止现行《欧盟第2019/452号条例》</w:t>
      </w:r>
      <w:r>
        <w:rPr>
          <w:rFonts w:hint="eastAsia" w:ascii="Times New Roman" w:hAnsi="Times New Roman"/>
          <w:sz w:val="28"/>
          <w:szCs w:val="28"/>
          <w:lang w:val="en-GB"/>
        </w:rPr>
        <w:t>。现行条例</w:t>
      </w:r>
      <w:r>
        <w:rPr>
          <w:rFonts w:ascii="Times New Roman" w:hAnsi="Times New Roman"/>
          <w:sz w:val="28"/>
          <w:szCs w:val="28"/>
          <w:lang w:val="en-GB"/>
        </w:rPr>
        <w:t>仅</w:t>
      </w:r>
      <w:r>
        <w:rPr>
          <w:rFonts w:hint="eastAsia" w:ascii="Times New Roman" w:hAnsi="Times New Roman"/>
          <w:sz w:val="28"/>
          <w:szCs w:val="28"/>
          <w:lang w:val="en-GB"/>
        </w:rPr>
        <w:t>“</w:t>
      </w:r>
      <w:r>
        <w:rPr>
          <w:rFonts w:ascii="Times New Roman" w:hAnsi="Times New Roman"/>
          <w:sz w:val="28"/>
          <w:szCs w:val="28"/>
          <w:lang w:val="en-GB"/>
        </w:rPr>
        <w:t>鼓励</w:t>
      </w:r>
      <w:r>
        <w:rPr>
          <w:rFonts w:hint="eastAsia" w:ascii="Times New Roman" w:hAnsi="Times New Roman"/>
          <w:sz w:val="28"/>
          <w:szCs w:val="28"/>
          <w:lang w:val="en-GB"/>
        </w:rPr>
        <w:t>”</w:t>
      </w:r>
      <w:r>
        <w:rPr>
          <w:rFonts w:ascii="Times New Roman" w:hAnsi="Times New Roman"/>
          <w:sz w:val="28"/>
          <w:szCs w:val="28"/>
          <w:lang w:val="en-GB"/>
        </w:rPr>
        <w:t>成员国建立外资审查机制，而新条例将这一建议升格为义务，要求全部27个成员国在18个月过渡期内建立强制性的事前审查机制。新条例规定了统一的最低事前审查范围，涵盖国防、半导体、人工智能、关键原材料和金融服务等敏感领域。对于医疗器械企业而言，人工智能辅助诊断软件、生物传感器以及涉及关键原材料的供应链环节均可能触发审查。此外，新条例引入了强制外资事前许可流程，未获许可即完成的交易将面临法律效力不确定性。</w:t>
      </w:r>
    </w:p>
    <w:p w14:paraId="42B0EAD1">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反垄断与经营者集中审查</w:t>
      </w:r>
    </w:p>
    <w:p w14:paraId="3C493617">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欧盟层面经营者集中审查依据《欧盟并购条例》（第139/2004号条例），当交易达到欧盟营业额门槛时须向欧委会竞争总司申报</w:t>
      </w:r>
      <w:r>
        <w:rPr>
          <w:rFonts w:hint="eastAsia" w:ascii="Times New Roman" w:hAnsi="Times New Roman"/>
          <w:sz w:val="28"/>
          <w:szCs w:val="28"/>
          <w:lang w:val="en-GB"/>
        </w:rPr>
        <w:t>；</w:t>
      </w:r>
      <w:r>
        <w:rPr>
          <w:rFonts w:ascii="Times New Roman" w:hAnsi="Times New Roman"/>
          <w:sz w:val="28"/>
          <w:szCs w:val="28"/>
          <w:lang w:val="en-GB"/>
        </w:rPr>
        <w:t>未达欧盟门槛的交易则由各成员国竞争主管机构审查。医疗器械企业的横向并购、渠道整合、上下游收购均可能触发申报，高端支架、影像设备等细分领域市场集中度高，易被认定具有排除竞争效果。医疗器械行业的并购交易通常涉及技术密集型产品，欧委会在评估时会重点关注交易对创新竞争的影响。</w:t>
      </w:r>
    </w:p>
    <w:p w14:paraId="182D3928">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劳工合规</w:t>
      </w:r>
    </w:p>
    <w:p w14:paraId="5227E28B">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欧盟通过一系列指令确立了全欧统一的劳工保护底线，同时为成员国保留了一定的细化空间。《工作时间指令》规定了每周最长工作时间、每日休息时长与法定带薪年假标准，《平等待遇指令》禁止基于国籍、性别、年龄等维度的就业歧视，《专业资格互认指令》则规范了非欧盟国家专业人员的资质认可流程。对于医疗器械企业而言，研发工程师、临床专员、设备维修技师等技术岗位的从业人员，均需通过相应的资质认证方可上岗，企业派驻的中方技术人员需提前确认资质互认安排。为吸引高技术人才，欧盟推行蓝卡制度，符合薪资门槛的医疗技术人才可快速获得居留许可，各成员国可在欧盟框架内制定更严格的本土薪资与资质标准。此外，欧盟关于劳务派遣、职业安全与健康的系列指令，也都是医疗器械生产、运营企业必须遵守的基础规则。</w:t>
      </w:r>
    </w:p>
    <w:p w14:paraId="19F67638">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环境保护合规</w:t>
      </w:r>
    </w:p>
    <w:p w14:paraId="21443CD9">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欧盟环保法规体系完善，对医疗器械行业的全生命周期环境管理提出了明确要求。欧盟《工业排放指令》（IED，</w:t>
      </w:r>
      <w:r>
        <w:rPr>
          <w:rFonts w:hint="eastAsia" w:ascii="Times New Roman" w:hAnsi="Times New Roman"/>
          <w:sz w:val="28"/>
          <w:szCs w:val="28"/>
          <w:lang w:val="en-GB"/>
        </w:rPr>
        <w:t>(EU)</w:t>
      </w:r>
      <w:r>
        <w:rPr>
          <w:rFonts w:ascii="Times New Roman" w:hAnsi="Times New Roman"/>
          <w:sz w:val="28"/>
          <w:szCs w:val="28"/>
          <w:lang w:val="en-GB"/>
        </w:rPr>
        <w:t>2010/75）是制造业企业须遵守的核心环保法规。修订后的《工业排放指令》（IED 2.0，Directive (EU) 2024/1785）于2024年8月生效，成员国须在2026年7月1日前完成国内法转化。该指令以最佳可行技术为许可基础，综合许可证中须纳入危险物质管理评估。对于医疗器械制造中涉及化学品使用或涂装工艺的设施，排放限值和监测义务显著加强。《医疗废弃物指令》要求对一次性医疗器械、含汞医疗设备、感染性废弃物等实行分类收集与无害化处置，生产企业需承担产品全生命周期的回收处理责任，建立完善的废弃物追溯与处理体系。《REACH 法规》对医疗器械中使用的高分子材料、化学试剂、重金属组分等提出注册、评估与限制要求，部分高风险物质的使用受到严格管控。欧盟循环经济行动计划进一步推动医疗器械的可重复使用、可回收设计，鼓励企业开展设备再制造与翻新业务。2026 年起全面实施的碳边境调节机制目前暂未将终端医疗器械纳入征税范围，但医疗器械生产所需的钢铁、铝、化工材料等高耗能上游产品的碳成本会逐步向下传导，企业需提前关注供应链碳排放核算与管理。</w:t>
      </w:r>
    </w:p>
    <w:p w14:paraId="1F220F26">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知识产权与商业秘密保护</w:t>
      </w:r>
    </w:p>
    <w:p w14:paraId="7C18A0EA">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欧盟建立了多层次的知识产权保护体系，能够为医疗器械研发提供全链条保障。通过《欧洲专利公约》，企业可申请覆盖多个成员国的欧洲专利，大幅降低多国专利申请的成本与流程；针对医疗器械研发周期长、上市审批耗时久的特点，欧盟设置了专利补充保护证书制度，可对上市审批占用的专利保护期予以最长 5 年的延长，补偿企业的研发投入。《商业秘密指令》对医疗器械研发参数、临床实验数据、生产工艺诀窍等未公开信息提供法律保护，禁止以不正当手段获取、披露、使用商业秘密。2023 年正式运行的欧盟统一专利法院，可一站式审理覆盖全欧盟的专利侵权纠纷，大幅降低了医疗器械企业跨国务讼的时间与成本，同时也提高了专利保护的一致性与执行力。</w:t>
      </w:r>
    </w:p>
    <w:p w14:paraId="78ABDF3F">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数据安全与隐私合规</w:t>
      </w:r>
    </w:p>
    <w:p w14:paraId="602B9D8E">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《通用数据保护条例》（GDPR）是欧盟数据保护的核心法律。医疗器械厂家需特别关注</w:t>
      </w:r>
      <w:r>
        <w:rPr>
          <w:rFonts w:hint="eastAsia" w:ascii="Times New Roman" w:hAnsi="Times New Roman"/>
          <w:sz w:val="28"/>
          <w:szCs w:val="28"/>
          <w:lang w:val="en-GB"/>
        </w:rPr>
        <w:t>，</w:t>
      </w:r>
      <w:r>
        <w:rPr>
          <w:rFonts w:ascii="Times New Roman" w:hAnsi="Times New Roman"/>
          <w:sz w:val="28"/>
          <w:szCs w:val="28"/>
          <w:lang w:val="en-GB"/>
        </w:rPr>
        <w:t>健康数据属于GDPR第9条规定的特殊类别数据，处理须满足更严格的法律依据，处理须同时满足第6条的合法依据和第9条第2款的豁免条件。大规模处理健康数据自动触发数据保护影响评估（DPIA）义务，医疗器械企业作为控制者须指定数据保护官，并与处理者签订符合第28条要求的书面数据处理协议。GDPR适用于任何处理欧盟境内个人数据的设备，即使控制者或处理者设立在欧盟境外。</w:t>
      </w:r>
    </w:p>
    <w:p w14:paraId="74A067CC">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反商业贿赂合规</w:t>
      </w:r>
    </w:p>
    <w:p w14:paraId="6923ABC2">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2026年4月，欧盟正式通过新的《反腐败指令》，该指令将推动欧盟形成更统一、更具威慑力的反腐与合规体系</w:t>
      </w:r>
      <w:r>
        <w:rPr>
          <w:rFonts w:hint="eastAsia" w:ascii="Times New Roman" w:hAnsi="Times New Roman"/>
          <w:sz w:val="28"/>
          <w:szCs w:val="28"/>
          <w:lang w:val="en-GB"/>
        </w:rPr>
        <w:t>。该指令</w:t>
      </w:r>
      <w:r>
        <w:rPr>
          <w:rFonts w:ascii="Times New Roman" w:hAnsi="Times New Roman"/>
          <w:sz w:val="28"/>
          <w:szCs w:val="28"/>
          <w:lang w:val="en-GB"/>
        </w:rPr>
        <w:t>统一公私部门贿赂、挪用公款、影响力交易、妨碍司法及隐瞒腐败收益等行为的认定与处罚，明确公职人员范围，并强化企业刑事责任。对法人实体的罚款下限为全球年营业额的5%或4000万欧元（贿赂类罪行）以及3%或2400万欧元（其他罪行）。指令允许成员国对在境外实施但为境内子公司利益或涉及欧盟境内商业活动的腐败行为行使管辖权，合规计划被明确列为量刑减轻因素。</w:t>
      </w:r>
      <w:r>
        <w:rPr>
          <w:rFonts w:hint="eastAsia" w:ascii="Times New Roman" w:hAnsi="Times New Roman"/>
          <w:sz w:val="28"/>
          <w:szCs w:val="28"/>
          <w:lang w:val="en-GB"/>
        </w:rPr>
        <w:t>指令要求各成员国</w:t>
      </w:r>
      <w:r>
        <w:rPr>
          <w:rFonts w:ascii="Times New Roman" w:hAnsi="Times New Roman"/>
          <w:sz w:val="28"/>
          <w:szCs w:val="28"/>
          <w:lang w:val="en-GB"/>
        </w:rPr>
        <w:t>在24个月内转化国内法，相关战略条款期限为36个月。</w:t>
      </w:r>
    </w:p>
    <w:p w14:paraId="48BAFD50">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争议解决</w:t>
      </w:r>
    </w:p>
    <w:p w14:paraId="1A82A016">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欧盟境内的跨境商事争议，优先依据《布鲁塞尔条例》确定管辖法院，成员国法院作出的生效判决可在全欧盟境内得到承认与执行。国际商事仲裁是跨境投资纠纷的主流解决方式，国际商会仲裁院、斯德哥尔摩商会仲裁院等机构的仲裁裁决，可依据《纽约公约》在欧盟各成员国得到执行。针对知识产权纠纷，企业可选择向欧盟统一专利法院提起诉讼，也可通过仲裁途径解决。在投资争端层面，由于中欧全面投资协定尚未正式生效，暂无法适用投资者 - 国家争端解决机制，中国医疗器械企业需在投资协议中明确约定争议解决条款，优先选择中立的国际仲裁机构与适用法律。此外，欧盟各成员国普遍建立了商事调解制度，部分国家设有医疗行业专门调解机构，可作为纠纷解决的前置选项，降低争议解决的时间与成本。</w:t>
      </w:r>
    </w:p>
    <w:p w14:paraId="4894B7CF">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德国</w:t>
      </w:r>
    </w:p>
    <w:p w14:paraId="374A521E">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外商投资审查</w:t>
      </w:r>
    </w:p>
    <w:p w14:paraId="71845B4C">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德国外国直接投资安全审查以《对外经济法》及《对外经济条例》为主要依据。现行制度原则上针对外国投资者收购或参股德国现有企业、取得企业资产或关键技术等交易，通常不将纯粹的新设企业、购地建厂等绿地投资纳入审查范围。但若投资项目实质包含收购德国企业的股权、厂房、生产线、知识产权、业务或敏感技术，则仍可能构成资产收购并触发审查。</w:t>
      </w:r>
    </w:p>
    <w:p w14:paraId="1AF67BF8">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审查门槛因行业而异。一般行业通常以取得25%以上表决权或资产为重要门槛；关键技术等领域通常适用20%门槛；疫苗、药品、个人防护设备以及治疗高传染性疾病医疗设备的研发、生产企业，则适用更严格的10%门槛。中国医疗器械企业在德国设立全新生产基地，原则上不会仅因绿地投资而受到FDI审查，但如果涉及收购德国企业、敏感医疗资产或核心技术，仍应逐项评估申报义务。外国政府或军队控制背景的投资者通常会受到更严格的审查，但并不当然导致交易被禁止。</w:t>
      </w:r>
    </w:p>
    <w:p w14:paraId="393D176D">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反垄断与经营者集中审查</w:t>
      </w:r>
    </w:p>
    <w:p w14:paraId="45867122">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德国反垄断监管以《反限制竞争法》为核心，由联邦卡特尔局负责执法。德国在欧盟并购控制体系之外设有独立的国内经营者集中申报制度：如果交易构成德国法意义上的经营者集中，且所有参与企业在上一会计年度的全球营业额合计超过5亿欧元，其中一个参与企业在德国的营业额超过5000万欧元，其他参与企业中至少有一个在德国的营业额超过1750万欧元，原则上须在交易完成前向联邦卡特尔局申报并取得许可。达到申报门槛的交易通常接受一个月的初步审查；如联邦卡特尔局认为交易可能显著妨碍德国市场的有效竞争，则进入为期四个月的深入审查。</w:t>
      </w:r>
    </w:p>
    <w:p w14:paraId="77B871DB">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在反垄断行为监管方面，联邦卡特尔局重点关注医疗设备分销、医院联合采购、医用耗材供应及相关招投标活动中的横向价格协议、市场划分、投标串通、转售价格维持和滥用市场支配地位等行为。植入式器械、诊断试剂、专科医疗设备及高值医用耗材等市场，通常具有产品专业性强、供应商集中、转换成本较高和采购方议价能力受限等特征，因此更容易成为竞争执法和并购审查的重点领域。对于已经达到申报门槛的并购交易，联邦卡特尔局将重点评估相关产品和地域市场的界定、交易前后市场份额、市场集中度、潜在竞争、客户转换成本以及进入壁垒，并可能通过剥离业务、开放供应渠道、禁止排他安排等方式消除竞争损害。</w:t>
      </w:r>
    </w:p>
    <w:p w14:paraId="5555517F">
      <w:pPr>
        <w:pStyle w:val="26"/>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中国医疗器械企业赴德开展并购、经销合作、联合采购或参与公共招标时，应同步开展经营者集中申报评估、卡特尔合规审查、经销与定价合规审查以及招投标合规审查。</w:t>
      </w:r>
    </w:p>
    <w:p w14:paraId="79F4E6C6">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劳工合规</w:t>
      </w:r>
    </w:p>
    <w:p w14:paraId="434642D3">
      <w:pPr>
        <w:pStyle w:val="26"/>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德国拥有全球最完善的劳工保护体系之一</w:t>
      </w:r>
      <w:r>
        <w:rPr>
          <w:rFonts w:hint="eastAsia" w:ascii="Times New Roman" w:hAnsi="Times New Roman"/>
          <w:sz w:val="28"/>
          <w:szCs w:val="28"/>
        </w:rPr>
        <w:t>。</w:t>
      </w:r>
      <w:r>
        <w:rPr>
          <w:rFonts w:ascii="Times New Roman" w:hAnsi="Times New Roman"/>
          <w:sz w:val="28"/>
          <w:szCs w:val="28"/>
        </w:rPr>
        <w:t>德国劳动用工制度以《民法典》《解雇保护法》《企业组织法》《最低工资法》以及大量集体协议和法院判例为基础，对医疗器械企业的用工成本、组织管理、解雇程序及员工参与决策具有显著影响。德国自2025年1月1日起，全国法定最低工资为每小时12.82欧元；部分行业还可能通过具有约束力的集体协议适用更高标准。医疗器械企业的研发、工程、生产和质量管理岗位通常依据岗位价值、专业资质及集体协议确定薪酬，不能仅以法定最低工资衡量其实际人力成本。</w:t>
      </w:r>
    </w:p>
    <w:p w14:paraId="278C0FB6">
      <w:pPr>
        <w:pStyle w:val="26"/>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根据《企业组织法》，企业通常拥有至少5名有选举权的常设雇员，且其中至少3人具有被选举权时，可以依法设立企业委员会。企业委员会在人员聘用、岗位调动、绩效制度、工作时间、部分解雇及社会事务中享有不同程度的知情、协商或参与决定权</w:t>
      </w:r>
      <w:r>
        <w:rPr>
          <w:rFonts w:hint="eastAsia" w:ascii="Times New Roman" w:hAnsi="Times New Roman"/>
          <w:sz w:val="28"/>
          <w:szCs w:val="28"/>
        </w:rPr>
        <w:t>。</w:t>
      </w:r>
      <w:r>
        <w:rPr>
          <w:rFonts w:ascii="Times New Roman" w:hAnsi="Times New Roman"/>
          <w:sz w:val="28"/>
          <w:szCs w:val="28"/>
        </w:rPr>
        <w:t>德国《解雇保护法》通常适用于拥有10名以上常设雇员的企业。员工连续受雇满6个月后，正常解雇一般须具有社会正当理由，并遵守法定通知期。</w:t>
      </w:r>
    </w:p>
    <w:p w14:paraId="53262820">
      <w:pPr>
        <w:pStyle w:val="26"/>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德国法定社会保险主要包括养老、医疗、失业、护理和工伤保险。养老、医疗、失业及护理保险通常由雇主和雇员共同缴费，但护理保险中无子女雇员的特定附加部分一般由雇员承担；工伤保险原则上由雇主单独承担。企业须依法完成工资核算、社会保险申报、费用缴纳、工资单保存及员工信息登记。</w:t>
      </w:r>
    </w:p>
    <w:p w14:paraId="797E6D18">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环境保护合规</w:t>
      </w:r>
    </w:p>
    <w:p w14:paraId="022C26C3">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德国是全球环保法规最严格的国家之一，医疗器械生产型企业需满足多维度的环保要求。《循环经济法》与《废弃物处理法》对医疗废弃物的分类、收集、运输、处置作出了细致规定，生产企业需承担产品废弃后的回收处理责任，建立完整的废弃物管理体系。新建医疗器械生产工厂必须严格履行环境影响评估程序，依据《环境影响评估法》完成环评审批，项目需满足废气、废水、噪声等各项排放标准，涉及危险化学品使用的还需满足额外的安全与管控要求。《气候保护法》设定了具有法律约束力的减排目标，要求各行业逐步降低碳排放，企业需制定碳排放管控方案，参与全国排放交易体系。此外，德国对产品能效、有害物质限制的要求也高于欧盟平均水平，部分州对工业企业的环保要求更为严苛，企业选址前需充分了解当地环保标准。</w:t>
      </w:r>
    </w:p>
    <w:p w14:paraId="72D7AFD3">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知识产权与商业秘密保护</w:t>
      </w:r>
    </w:p>
    <w:p w14:paraId="6C16163C">
      <w:pPr>
        <w:pStyle w:val="26"/>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德国建立了全面的知识产权保护体系，能够为医疗器械创新提供有力保障。《专利法》对发明创造提供 20 年保护期，针对医疗器械的微小改进与技术创新，企业还可申请实用新型专利，获得快速审查与短期保护。德国专利商标局为医疗健康相关专利设置了快速审查通道，可大幅缩短授权周期。同时，德国执行欧盟统一的专利补充保护证书制度，弥补医疗器械上市审批占用的专利时间。《雇员发明法》对企业雇员完成的职务发明权属作出明确规定，企业需建立完善的发明申报与权益分配制度，避免权属纠纷。在执法层面，德国法院对知识产权侵权案件的判赔力度较高，情节严重的侵权行为还可能触发刑事追责，企业既要做好自身知识产权布局，也要防范侵权风险</w:t>
      </w:r>
      <w:r>
        <w:rPr>
          <w:rFonts w:hint="eastAsia" w:ascii="Times New Roman" w:hAnsi="Times New Roman"/>
          <w:sz w:val="28"/>
          <w:szCs w:val="28"/>
        </w:rPr>
        <w:t>。</w:t>
      </w:r>
      <w:r>
        <w:rPr>
          <w:rFonts w:ascii="Times New Roman" w:hAnsi="Times New Roman"/>
          <w:sz w:val="28"/>
          <w:szCs w:val="28"/>
        </w:rPr>
        <w:t>德国是统一专利法院的参与成员国，UPC在慕尼黑和杜塞尔多夫设有本地分部。医疗器械企业在德国参展时须注意展会知识产权执法的高度效率，临时禁令可在短时间内执行。</w:t>
      </w:r>
    </w:p>
    <w:p w14:paraId="0EB0D1DC">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数据安全与隐私合规</w:t>
      </w:r>
    </w:p>
    <w:p w14:paraId="306FA2F7">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德国在欧盟 GDPR 框架下，通过《联邦数据保护法》进一步细化了数据合规要求，对医疗器械行业的健康数据管理提出了更具体的约束。涉及患者健康数据的处理活动，除满足 GDPR 的通用要求外，还需遵守德国关于医疗数据保密的专项规定，严格限制数据使用范围与接触人员。联网医疗设备、远程诊疗系统需满足联邦信息安全局制定的安全标准，建立完善的数据安全防护体系。对于涉及数据跨境传输的业务，德国联邦数据保护机构对标准合同条款的适用审核严格，企业需确保数据传输的合规性。此外，德国《信息技术安全法》要求网络关键设备供应商提交供应链可信度声明，医疗信息系统、高端联网医疗设备均属于监管范畴，中资企业相关产品进入德国市场可能面临额外的安全审查。</w:t>
      </w:r>
    </w:p>
    <w:p w14:paraId="45CBA07E">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反商业贿赂合规</w:t>
      </w:r>
    </w:p>
    <w:p w14:paraId="2FD8D58B">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德国对商业贿赂的监管严格，相关规定分散在《刑法典》《反不正当竞争法》《反腐败法》等法律法规中。针对法人企业的腐败行为，德国可处以高额罚金，没收违法所得，同时禁止企业在一定期限内参与公共采购项目。企业需建立完善的反腐败合规体系，规范礼品招待、学术赞助、渠道合作等活动，避免触碰合规红线。德国执法机构对腐败行为的调查范围广泛，即使相关行为发生在境外，只要对德国市场产生影响，也可能被追究责任。</w:t>
      </w:r>
    </w:p>
    <w:p w14:paraId="2C85122F">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争议解决</w:t>
      </w:r>
    </w:p>
    <w:p w14:paraId="18C2E74A">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德国的商事争议解决体系完善，企业可通过调解、仲裁、诉讼等多种途径解决纠纷。调解是德国鼓励的纠纷前置解决方式，部分行业协会与调解机构提供医疗领域的专业调解服务，可低成本、高效率地化解争议。仲裁方面，德国仲裁院等机构提供专业的商事仲裁服务，仲裁裁决可依据《纽约公约》得到全球执行，也可在德国法院申请强制执行。诉讼方面，德国实行四级法院体系，商事纠纷根据标的金额分别由地方法院或州法院管辖，州法院设有专门的商事法庭，审理包括知识产权、合同纠纷在内的各类商事案件，法院判决在全欧盟境内可依据《布鲁塞尔条例》得到承认与执行。对于投资争端，中德两国签有双边投资保护协定，企业若遭遇东道国征收、歧视性执法等情形，可依据协定寻求救济。</w:t>
      </w:r>
    </w:p>
    <w:p w14:paraId="0C5C608F">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荷兰</w:t>
      </w:r>
    </w:p>
    <w:p w14:paraId="2FFE3D53">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外商投资审查</w:t>
      </w:r>
    </w:p>
    <w:p w14:paraId="4783668E">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荷兰外国直接投资审查依据2023年6月1日生效的《投资、并购安全审查法》（Vifo法案），对涉及重要供应商、商业园区运营商和敏感技术企业的交易实行强制申报。荷兰政府于2026年6月8日宣布，自2027年1月1日起将新增六类高度敏感技术至审查范围，其中包括用于医疗用途的核技术，涵盖用于患者诊断和治疗的核应用，包括治疗和诊断用核素。此外，生物技术、人工智能、先进材料和纳米技术也被纳入新增审查范围。这意味着，涉及放射性诊断设备、生物传感器或AI辅助诊断软件的医疗器械企业，在2027年后完成的交易将须向投资审查局申报。未申报即完成交易将导致所获得的权利暂停行使，经济事务部长可命令收购方在特定期限内剥离交易。</w:t>
      </w:r>
    </w:p>
    <w:p w14:paraId="1702216B">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反垄断与经营者集中审查</w:t>
      </w:r>
    </w:p>
    <w:p w14:paraId="47C8B274">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反垄断审查方面，荷兰消费者与市场管理局（ACM）采用强制性且中止性的申报制度，门槛为所有参与方全球营业额合计超过1.5亿欧元且至少两个参与方在荷兰各自营业额超过3000万欧元。</w:t>
      </w:r>
    </w:p>
    <w:p w14:paraId="7972E8E6">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劳工合规</w:t>
      </w:r>
    </w:p>
    <w:p w14:paraId="485DBAD0">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荷兰的劳工标准处于欧盟前列，相关规则兼顾劳工保护与市场灵活性。荷兰法定最低工资标准按年龄分级调整，整体水平高于欧盟多数国家，医疗器械行业的专业技术岗位薪资显著高于最低工资标准。荷兰医疗行业普遍适用集体劳动合同，行业工会与雇主协会协商确定全行业的薪资、工时、福利等标准，企业需遵守集体合同的相关约定。荷兰的工作时间制度相对灵活，可实行弹性工时、居家办公等模式，但需严格遵守工作时间与休息休假的法定底线。对于外籍技术人才，荷兰推行高技术移民政策，符合薪资要求的医疗技术、研发人员可快速获得工作许可与居留许可，签证申请流程简便，审批效率高。此外，荷兰的社会保险体系完善，企业需按规定缴纳各项社保费用，保障员工权益。</w:t>
      </w:r>
    </w:p>
    <w:p w14:paraId="4ED48FC2">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环境保护合规</w:t>
      </w:r>
    </w:p>
    <w:p w14:paraId="4B9BE948">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荷兰高度重视环境保护，相关法规对医疗器械企业的生产、运营提出了明确要求。《环境管理法》是荷兰环保领域的核心立法，对工业企业的废气、废水、废弃物排放设置了严格标准，医疗器械生产企业需获得相应的环境许可，建立完善的污染物处理体系。针对医疗废弃物，荷兰在欧盟指令基础上进一步细化了分类处置要求，感染性废弃物、锐器、化学性医疗废弃物需分别交由有资质的机构处理，生产企业需承担产品回收的相关责任。荷兰大力推动循环经济发展，鼓励医疗器械的可回收设计与再制造，对符合环保要求的企业给予政策支持。阿姆斯特丹、鹿特丹等核心城市对工业企业的环保要求更高，企业选址时需充分评估当地环保标准与合规成本。</w:t>
      </w:r>
    </w:p>
    <w:p w14:paraId="375146E6">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知识产权与商业秘密保护</w:t>
      </w:r>
    </w:p>
    <w:p w14:paraId="4419B3EE">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荷兰是欧洲知识产权保护的高地，尤其在专利诉讼与执法方面具备显著优势。海牙是欧洲专利诉讼的核心城市之一，荷兰法院在专利侵权案件审理方面专业高效，判决在全欧盟范围内均有效力，很多医疗器械企业选择在荷兰布局知识产权，通过欧洲专利获得全欧保护。荷兰也执行欧盟统一的专利补充保护证书制度，为医疗器械专利提供期限补偿。针对企业的商业秘密、技术诀窍，荷兰依据《商业秘密保护法》提供充分保护，禁止不正当获取与使用商业秘密的行为。此外，荷兰拥有成熟的知识产权服务体系，专利代理、法律服务机构专业度高，能够为医疗器械企业提供从申请到维权的全链条服务</w:t>
      </w:r>
      <w:r>
        <w:rPr>
          <w:rFonts w:hint="eastAsia" w:ascii="Times New Roman" w:hAnsi="Times New Roman"/>
          <w:sz w:val="28"/>
          <w:szCs w:val="28"/>
          <w:lang w:val="en-GB"/>
        </w:rPr>
        <w:t>。</w:t>
      </w:r>
    </w:p>
    <w:p w14:paraId="29188B27">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数据安全与隐私合规</w:t>
      </w:r>
    </w:p>
    <w:p w14:paraId="2D9F1AE8">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荷兰严格执行欧盟 GDPR，由荷兰数据保护局负责执法，是欧盟范围内数据合规执法最活跃的国家之一，对健康数据领域的违规行为查处频次高、处罚严。医疗器械企业处理患者健康数据，必须严格遵守数据最小化、知情同意、安全保障等原则，建立完善的数据治理体系。对于联网医疗设备、数字医疗服务，荷兰监管机构对数据安全与隐私保护的要求严格，企业需定期开展合规审计。涉及数据跨境传输时，企业可采用标准合同条款，或通过充分性认定安排，确保数据传输合法合规。荷兰对医疗数据的本地化没有强制性的通用要求，但部分公共医疗项目可能要求数据存储在欧盟境内。</w:t>
      </w:r>
    </w:p>
    <w:p w14:paraId="4BD7F18D">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反商业贿赂合规</w:t>
      </w:r>
    </w:p>
    <w:p w14:paraId="365A7BB3">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荷兰对商业贿赂与腐败行为保持高压监管，依据《荷兰刑法典》《反腐败法》等法律法规，将商业贿赂、贿赂公职人员等行为纳入刑事处罚，对法人企业可处以高额罚金，没收违法所得。医疗公共采购是反腐败执法的重点领域，荷兰推行采购利益申报制度，参与投标的企业需披露相关利益关系，禁止向采购人员、医疗机构工作人员提供不当利益。企业需建立内部反腐败合规体系，规范商务招待、礼品、学术合作等活动，防范合规风险。荷兰的公共采购透明度高，流程规范，腐败风险相对低于欧盟平均水平，但企业仍需严格遵守相关规定，避免触碰红线。</w:t>
      </w:r>
    </w:p>
    <w:p w14:paraId="484854D3">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争议解决</w:t>
      </w:r>
    </w:p>
    <w:p w14:paraId="4D703E11">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荷兰的商事争议解决体系成熟高效，为企业提供了多元的纠纷解决途径。调解在荷兰商事纠纷中应用广泛，包括医疗领域在内的很多行业都设有专门的调解机构，可快速低成本地化解争议。仲裁方面，荷兰仲裁协会是荷兰主要的商事仲裁机构，仲裁程序灵活高效，裁决可依据《纽约公约》在全球范围内得到承认与执行。海牙聚集了大量国际仲裁与法律服务机构，具备丰富的跨境争议解决资源。诉讼方面，荷兰法院体系完善，商事案件审理效率高，判决可在全欧盟境内执行。对于投资争端，中荷两国签有双边投资保护协定，为企业提供了投资权益保障与救济途径。</w:t>
      </w:r>
    </w:p>
    <w:p w14:paraId="4EF1180D">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法国</w:t>
      </w:r>
    </w:p>
    <w:p w14:paraId="0E2FB528">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外商投资审查</w:t>
      </w:r>
    </w:p>
    <w:p w14:paraId="342B7B17">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法国外国投资安全审查以《货币与金融法典》为主要法律依据，由经济财政部下属国库总司具体执行。审查通常同时考察投资者身份、交易性质及目标企业是否从事法定敏感活动。非欧盟或欧洲经济区投资者取得法国企业25%以上表决权，或者取得企业控制权，可能触发事前审查；对于从事敏感活动的法国上市公司，相关门槛通常为10%。公共卫生、生物技术以及涉及医疗关键技术、敏感数据或战略基础设施的企业，可能被纳入审查范围，但普通医疗器械企业并非当然属于敏感行业。</w:t>
      </w:r>
    </w:p>
    <w:p w14:paraId="57456C90">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主管机关主要从公共秩序、公共安全、国防、关键技术、供应链稳定及公共利益等角度评估交易，可作出无条件批准、附条件批准或禁止投资的决定。常见条件包括维持法国总部或核心研发能力、保障本地生产和供应、限制敏感技术或数据转移、保留关键岗位及接受持续监督等。对于未达到申报门槛但可能损害国家利益的交易，法国仍保留主动干预的权力；具有外国政府控制背景的投资者通常会受到更严格审查。公开统计显示，2025年进入正式审查程序的案件中，超过一半最终被附加保护国家利益的条件，但这一比例不代表所有获批交易的固定情况。中国医疗器械企业赴法并购前，应尽早开展敏感行业、控制权和申报门槛评估，并将审批周期及潜在条件纳入交易结构。</w:t>
      </w:r>
    </w:p>
    <w:p w14:paraId="1D62B086">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反垄断与经营者集中审查</w:t>
      </w:r>
    </w:p>
    <w:p w14:paraId="6E1AC0D8">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法国反垄断执法由法国竞争管理局负责。经营者集中原则上达到欧盟申报标准的，主要向欧盟委员会申报；未达欧盟门槛但达到法国国内门槛、并对法国市场竞争产生明显影响的交易，可能须向法国竞争管理局申报。法国现行国内门槛通常包括：参与集中企业上一财年全球营业额合计超过1.5亿欧元，其中至少两家在法国营业额各超过5000万欧元；涉及零售业或在特定海外领地经营的交易另有专门标准。申报通常由一方提起，但交易是否真正具有强制性应结合控制权变化、业务转移及官方指南判断。第一阶段审查一般为25个工作日，提交救济方案后可延长15个工作日。审查重点关注市场支配地位、市场份额、竞争约束、创新及经济和社会影响。未达到申报门槛的交易仍可能受到竞争执法调查，企业应避免抢跑实施集中。</w:t>
      </w:r>
    </w:p>
    <w:p w14:paraId="13651934">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劳工合规</w:t>
      </w:r>
    </w:p>
    <w:p w14:paraId="2884A7C0">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法国拥有完善的劳工保护体系，相关规则对医疗器械企业的运营管理影响深远。法国实行法定 35 小时工作周制度，超出法定工作时间需支付加班工资，带薪年假、法定节假日等劳工福利保障完善。法国的解雇保护制度严格，企业解雇员工需具备法定理由，履行法定程序，支付法定补偿金，大规模裁员还需履行协商与报告义务。医疗行业普遍适用行业集体协议，对薪资、工作条件、职业发展等作出统一约定，企业需遵守集体协议的相关标准。对于外籍技术人员，法国实行技术移民政策，符合条件的医疗技术、研发人才可申请人才居留许可，但整体签证审批流程相对复杂，对语言、资质的要求较高。法国的社会保险缴费比例较高，企业需承担的社保成本在欧盟处于较高水平。</w:t>
      </w:r>
    </w:p>
    <w:p w14:paraId="04242BA6">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环境保护合规</w:t>
      </w:r>
    </w:p>
    <w:p w14:paraId="7AAB29F0">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法国环境保护以《环境法典》为核心，并通过安装分类设施、环境影响评价、排污许可、检查处罚及生产者责任等制度实施监管。新建医疗器械生产项目是否需要环评及installations classées 环境许可，取决于设施性质、规模、排放和风险等级，并非所有项目均适用同一程序；企业还需关注水、空气、土壤、危险废物、化学品、能耗及地方城市规划要求。法国对感染性、锐器、化学及一般医疗废弃物实行分类收集、专业运输和许可处置，但生产企业、医疗机构及处理商的职责并不相同。在适用产品类别内，生产者还须履行延伸责任，建立回收、处理或追溯安排。法国以能源与气候政策推动工业脱碳，巴黎等人口密集地区可能在地方规划、空气质量和交通排放方面提出更严要求。</w:t>
      </w:r>
    </w:p>
    <w:p w14:paraId="1374C397">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知识产权与商业秘密保护</w:t>
      </w:r>
    </w:p>
    <w:p w14:paraId="018044D0">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法国以《知识产权法典》保护专利、商标、著作权、外观设计及商业秘密，法国国家工业产权局负责工业产权事务。企业既可申请法国专利，也可通过欧洲专利在法国获得保护；专利通常自申请日起保护20年，普通医疗器械一般不适用药品补充保护证书，仅特定药械组合在法定条件下可能获得。雇员发明的权利和额外报酬主要受法定规则、集体协议及劳动合同调整，企业应建立职务发明披露、权利归属和奖励制度。法国法院可判令停止侵权、赔偿损失，严重案件可能涉及刑事制裁；专业调解与仲裁也可用于解决争议。</w:t>
      </w:r>
    </w:p>
    <w:p w14:paraId="30DC8195">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数据安全与隐私合规</w:t>
      </w:r>
    </w:p>
    <w:p w14:paraId="1663F671">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法国个人数据保护以GDPR及法国《数据保护法》为基础，由国家信息与自由委员会执法。健康数据属于特殊类别个人数据，医疗器械企业须具备合法性基础，遵循目的限制、数据最小化、保存限制和安全保障等要求。法国并未在法律上要求所有医疗健康数据一律存储于境内；但公共医疗项目、政府合同、卫生信息系统或“可信云”认证可能附加本地化、主权云及分包商审查条件。向欧盟外传输数据时，应评估充分性决定、适当保障措施及例外情形，并采取加密、访问控制和供应商管理等措施。</w:t>
      </w:r>
    </w:p>
    <w:p w14:paraId="13F20CB5">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反商业贿赂合规</w:t>
      </w:r>
    </w:p>
    <w:p w14:paraId="47DE27B3">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法国反腐败以《萨潘二世法》为核心，要求达到一定规模的企业建立风险评估、行为准则、第三方尽调、会计控制、培训、举报和内部惩戒等机制。医疗采购是执法重点领域，向公职人员、医疗机构人员或相关决策者提供不当利益可能构成贿赂，企业可能面临罚款、禁止参与公共采购、没收及责任人刑事责任。有效合规体系不当然免除责任，但可能成为司法机关、反腐败局或行政机关评估责任、处罚及监管措施的考量因素。该法对部分境外腐败行为具有域外适用空间，中资企业还应覆盖法国子公司、代理商和第三方合作伙伴。</w:t>
      </w:r>
    </w:p>
    <w:p w14:paraId="30A5D91B">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争议解决</w:t>
      </w:r>
    </w:p>
    <w:p w14:paraId="25277853">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法国商事纠纷可通过协商、调解、仲裁或诉讼解决，医疗行业也存在相关专业调解渠道。巴黎国际商会仲裁院是重要国际商事仲裁机构之一，仲裁裁决可依据《纽约公约》在多个国家申请承认与执行。法国商事法院主要审理商事争议，但“审理专业高效”属于主观评价，不宜作为法律结论。在欧盟民商事案件中，法国判决通常可依据《布鲁塞尔条例》在其他成员国申请简化承认与执行，并非当然自动生效；中法之间的民商事判决还需依据两国司法协助安排及国内程序申请承认与执行。涉及征收、歧视待遇等投资争端时，可依据现行中法双边投资协定评估协商、东道国救济及国际仲裁等路径。</w:t>
      </w:r>
    </w:p>
    <w:p w14:paraId="12349D37">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英国</w:t>
      </w:r>
    </w:p>
    <w:p w14:paraId="4D30CCB2">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外商投资审查</w:t>
      </w:r>
    </w:p>
    <w:p w14:paraId="6429B169">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英国脱欧后已通过《国家安全与投资法》建立独立于欧盟的外国投资安全审查制度。该法适用于17个敏感领域，包括合成生物学、人工智能、先进材料和计算机硬件等，但并未将普通医疗器械、医疗健康和生命科学整体列为强制申报行业。只有目标企业从事相关敏感活动，且收购使收购方首次取得至少25%、从25%提高至50%或取得超过50%的表决权、股份或控制权时，通常才须在实施前申报。强制申报原则上不区分英国和外国投资者，也不设交易金额门槛；未获批准即完成交易，可能面临最高全球营业额5%的罚款，交易还可能被要求剥离或宣告无效。涉及人工智能辅助诊断、合成生物学或先进材料的医疗器械交易，应重点评估强制申报义务。</w:t>
      </w:r>
    </w:p>
    <w:p w14:paraId="2E8806CD">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反垄断与经营者集中审查</w:t>
      </w:r>
    </w:p>
    <w:p w14:paraId="3379B167">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英国竞争与市场管理局负责经营者集中执法，一般采取自愿申报模式，但达到相关门槛或可能产生竞争影响的交易，监管机构有权主动介入。医疗器械并购应重点评估英国市场份额、竞争约束、创新影响及交易能否在实施前完成审查。脱欧后，同一交易可能同时触发欧盟和英国申报，但两国制度相互独立。2025年生效的《数字市场、竞争和消费者法》主要强化数字市场监管，并为特定低营业额、高价值交易及报纸媒体并购提供新的审查工具，不宜概括为所有并购均采用以收购方为焦点的强制申报门槛。</w:t>
      </w:r>
    </w:p>
    <w:p w14:paraId="5E978878">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劳工合规</w:t>
      </w:r>
    </w:p>
    <w:p w14:paraId="765B4B71">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英国实行积分制工作签证，技术工人签证的常规最低年薪门槛为38,700英镑，但具体金额还受职业代码、现行工资标准及申请人资历影响；医疗和研发岗位并不当然属于紧缺职业或获得额外积分。英国政府拟将一般不公平解雇保护所需的连续服务期由2年缩短至6个月，但正式生效日期和适用范围仍需以最终立法为准。雇主仍须基于公平理由实施解雇，并履行绩效提醒、调查、申辩和咨询等程序。</w:t>
      </w:r>
    </w:p>
    <w:p w14:paraId="276A24D0">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环境保护合规</w:t>
      </w:r>
    </w:p>
    <w:p w14:paraId="2E1315A8">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英国以《环境法》及污染、废弃物、生产者责任和碳排放规则实施环保监管。新建医疗器械生产项目是否需开展环境影响评价、申请环境许可，取决于项目规模、排放和设施类型。医疗废弃物实行分类、专业收集、运输和处置，但生产者、医疗机构和处理商的责任不同。英国自2021年起实行独立的英国碳排放交易体系，主要覆盖电力、能源密集型工业及部分航空活动，普通医疗器械企业并不当然纳入。</w:t>
      </w:r>
    </w:p>
    <w:p w14:paraId="2D329C8F">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知识产权与商业秘密保护</w:t>
      </w:r>
    </w:p>
    <w:p w14:paraId="09ACDB37">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英国脱欧不影响依据《欧洲专利公约》授权的欧洲专利继续指定英国，但英国不再参与欧盟统一专利和统一专利法院体系。英国知识产权局负责本国专利、商标等事务。英国补充保护证书主要适用符合条件的药品，普通医疗器械通常不能获得，仅特定药械组合可能符合条件。商业秘密受英国普通法及相关立法保护，法院可通过禁令、损害赔偿等方式处理侵权。</w:t>
      </w:r>
    </w:p>
    <w:p w14:paraId="47628879">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数据安全与隐私合规</w:t>
      </w:r>
    </w:p>
    <w:p w14:paraId="2A1A6C57">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英国数据保护以《2018年数据保护法》和英国通用数据保护条例为基础，健康数据属于特殊类别个人数据。医疗器械企业须明确合法性基础，限制处理目的，采取加密、访问控制、事件响应和安全审计等措施。英国与欧盟之间可依据充分性决定开展数据传输，向其他地区传输则须采用适当保障机制。信息专员办公室最高可处1750万英镑或上一财政年度全球营业额4%的罚款，以较高者为准。</w:t>
      </w:r>
    </w:p>
    <w:p w14:paraId="52BB0C0A">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反商业贿赂合规</w:t>
      </w:r>
    </w:p>
    <w:p w14:paraId="6CC9AB94">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英国《2010年反贿赂法》同时规制贿赂公职人员和商业贿赂，并具有域外适用空间。企业可能因未能建立充分程序、相关个人为获取或保留业务实施贿赂而承担第7条责任，但已建立并有效运行充分反贿赂程序构成法定抗辩。医疗采购是执法重点，违规可能导致罚款、采购限制、没收及刑事责任。合规体系不能绝对免除责任，但可能降低违法风险并在执法中成为重要考量因素。</w:t>
      </w:r>
    </w:p>
    <w:p w14:paraId="0FC845B4">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争议解决</w:t>
      </w:r>
    </w:p>
    <w:p w14:paraId="6F9C799D">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伦敦是国际商事争议解决的重要中心，伦敦国际仲裁院依据《1996年仲裁法》处理大量国际商事纠纷。仲裁裁决可在其他《纽约公约》缔约方申请承认与执行，英国法院通常采取支持仲裁、有限干预的立场。脱欧后，英国与欧盟民商事判决不再统一适用原有直接执行机制，但仍存在相关承认与执行安排；企业还可依据现行中英投资协定评估征收、歧视待遇等争端的救济路径。</w:t>
      </w:r>
    </w:p>
    <w:p w14:paraId="07800F71">
      <w:pPr>
        <w:pStyle w:val="26"/>
        <w:numPr>
          <w:ilvl w:val="1"/>
          <w:numId w:val="6"/>
        </w:numPr>
        <w:spacing w:before="120" w:beforeLines="50" w:after="120" w:afterLines="50" w:line="360" w:lineRule="auto"/>
        <w:jc w:val="center"/>
        <w:outlineLvl w:val="2"/>
        <w:rPr>
          <w:rFonts w:ascii="Times New Roman" w:hAnsi="Times New Roman"/>
          <w:b/>
          <w:bCs/>
          <w:sz w:val="28"/>
          <w:szCs w:val="28"/>
          <w:lang w:val="en-GB"/>
        </w:rPr>
      </w:pPr>
      <w:r>
        <w:rPr>
          <w:rFonts w:hint="eastAsia" w:ascii="Times New Roman" w:hAnsi="Times New Roman"/>
          <w:b/>
          <w:bCs/>
          <w:sz w:val="28"/>
          <w:szCs w:val="28"/>
          <w:lang w:val="en-GB"/>
        </w:rPr>
        <w:t xml:space="preserve"> </w:t>
      </w:r>
      <w:bookmarkStart w:id="45" w:name="_Toc103694486"/>
      <w:r>
        <w:rPr>
          <w:rFonts w:hint="eastAsia" w:ascii="Times New Roman" w:hAnsi="Times New Roman"/>
          <w:b/>
          <w:bCs/>
          <w:sz w:val="28"/>
          <w:szCs w:val="28"/>
          <w:lang w:val="en-GB"/>
        </w:rPr>
        <w:t>东南亚地区</w:t>
      </w:r>
      <w:bookmarkEnd w:id="45"/>
    </w:p>
    <w:p w14:paraId="2A31101A">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东盟规则简介</w:t>
      </w:r>
    </w:p>
    <w:p w14:paraId="3041388A">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东盟作为由 11 个成员国组成的区域经济共同体，在外商投资监管领域呈现</w:t>
      </w:r>
      <w:r>
        <w:rPr>
          <w:rFonts w:hint="eastAsia" w:ascii="Times New Roman" w:hAnsi="Times New Roman"/>
          <w:sz w:val="28"/>
          <w:szCs w:val="28"/>
          <w:lang w:val="en-GB"/>
        </w:rPr>
        <w:t>“</w:t>
      </w:r>
      <w:r>
        <w:rPr>
          <w:rFonts w:ascii="Times New Roman" w:hAnsi="Times New Roman"/>
          <w:sz w:val="28"/>
          <w:szCs w:val="28"/>
          <w:lang w:val="en-GB"/>
        </w:rPr>
        <w:t>框架性规则协调、成员国自主实施</w:t>
      </w:r>
      <w:r>
        <w:rPr>
          <w:rFonts w:hint="eastAsia" w:ascii="Times New Roman" w:hAnsi="Times New Roman"/>
          <w:sz w:val="28"/>
          <w:szCs w:val="28"/>
          <w:lang w:val="en-GB"/>
        </w:rPr>
        <w:t>”</w:t>
      </w:r>
      <w:r>
        <w:rPr>
          <w:rFonts w:ascii="Times New Roman" w:hAnsi="Times New Roman"/>
          <w:sz w:val="28"/>
          <w:szCs w:val="28"/>
          <w:lang w:val="en-GB"/>
        </w:rPr>
        <w:t>的整体特征，尚未形成欧盟式的统一强制监管体系，而是通过多边投资协定、区域发展规划引导各国外资规则趋同，同时充分保留各国的监管自主权。</w:t>
      </w:r>
    </w:p>
    <w:p w14:paraId="4C5705A7">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东盟层面的外资规则核心载体为《东盟全面投资协议》（ACIA），该协议以建立自由、便利、透明的区域投资市场为目标，确立了国民待遇、最惠国待遇、征收补偿、资金自由转移等投资保护核心规则，推动各成员国逐步放宽外资准入，采用负面清单模式列明外资限制措施。ACIA 要求各成员国逐步减少投资限制，提高准入透明度，但并未设定统一的外资安全审查机制，安全审查完全由各成员国依据本国法律自主实施，审查标准、程序与阈值差异较大。在此基础上，《区域全面经济伙伴关系协定》（RCEP）进一步统一了区域投资规则，15 个缔约方对非服务业领域投资全面采用负面清单管理，同时禁止强制业绩要求、强制技术转让等不合理投资限制。</w:t>
      </w:r>
    </w:p>
    <w:p w14:paraId="0BD7BB45">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目前，东盟尚未建立取代成员国监管权限的统一反垄断执法体系。2025年签署的《东盟竞争框架协议》旨在促进政策协调、信息共享和跨境协作，不等于设立了超国家的区域反垄断机构。RCEP竞争章对各缔约方具有约束力，但明确尊重各国制定和执行本国竞争法的主权，且竞争事项不适用RCEP的国家间争端解决机制。跨境并购如同时影响多个国家，原则上仍须逐国判断申报门槛、审查程序和救济措施。</w:t>
      </w:r>
    </w:p>
    <w:p w14:paraId="6E380681">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劳工、环保、知识产权、数据及反腐败同样主要属于成员国国内法事项。东盟通过行动计划、政策框架和能力建设推动规则趋同，但除个别国际协定外，通常不形成可直接对企业追责的统一实体规则。各国在最低工资、工时、解雇、工会、环评、医疗废弃物、个人数据及反腐败处罚方面差异显著。知识产权仍按国申请、审查和维持；数据规则从较成熟的专门立法到尚待完善制度并存。医疗废弃物责任、绿色激励、数据本地化和外籍员工比例，也均须以投资目的地具体法规为准。</w:t>
      </w:r>
    </w:p>
    <w:p w14:paraId="2D2A086F">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争议解决应区分商事与投资争端。跨境商事仲裁裁决通常可依《纽约公约》在成员国申请承认与执行；投资争端则须依据中国—东盟《投资协议》及相应双边投资协定，审查投资者资格、期限、用尽当地救济等条件。</w:t>
      </w:r>
    </w:p>
    <w:p w14:paraId="56DD07F7">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印度尼西亚</w:t>
      </w:r>
    </w:p>
    <w:p w14:paraId="04A8ADF6">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外商投资审查</w:t>
      </w:r>
    </w:p>
    <w:p w14:paraId="56266C04">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印尼外国直接投资审查以《投资法》为基础，印尼对外资准入实行负面清单制度，定期发布《投资负面清单》，明确禁止投资、限制投资的行业领域与具体条件。禁止外资进入的行业包括毒品种植与加工、放射性物质管理、部分文化遗产经营、珍稀物种开发等，完全不允许外国资本涉足。限制类行业则设置差异化的准入条件，部分医疗服务、医疗机构、医药流通等领域对外资持股比例设限，要求本地资本参股或控股，部分项目需满足特定资质、技术转让等附加条件方可准入。</w:t>
      </w:r>
    </w:p>
    <w:p w14:paraId="32E27FAE">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涉及国家安全、公共利益、战略资源的重大外资项目，需接受印尼政府的安全审查，审查机构可根据评估结果附加限制性条件，或直接否决投资项目。印尼对鼓励类投资项目提供多元激励政策，包括企业所得税减免、进口设备免税、土地使用优惠、简化审批流程等，重点支持制造业、绿色能源、数字经济、医疗设备等领域。外资企业可通过 “一站式” 投资服务平台提交申请，符合条件的项目可快速获得经营许可。对于医疗器械企业而言，需提前对照负面清单确认目标业务的准入要求，评估持股比例、资质许可等合规成本。</w:t>
      </w:r>
    </w:p>
    <w:p w14:paraId="1B0AB165">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反垄断与经营者集中审查</w:t>
      </w:r>
    </w:p>
    <w:p w14:paraId="04441E4D">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印尼反垄断制度以1999年第5号《禁止垄断行为和不正当商业竞争法》为核心，由商业竞争监督委员会（KPPU）统一负责执法，职责包括经营者集中审查、反竞争协议查处、滥用市场支配地位规制及竞争倡导。印尼原则上实行交割后强制申报：达到门槛的交易须在集中合法生效之日起30个工作日内申报，通常无须等待KPPU批准后再完成交割。</w:t>
      </w:r>
    </w:p>
    <w:p w14:paraId="4C50FCEA">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KPPU收到完整申报后，原则上最长在90个工作日内作出竞争评估。若交易可能显著削弱竞争，可要求采取资产剥离、开放市场、解除排他安排等救济措施，严重时可建议宣告交易违法或无效。未按时申报的，可能按逾期天数处以每日10亿印尼盾的行政罚款，并可能另处最高250亿印尼盾的处罚。</w:t>
      </w:r>
    </w:p>
    <w:p w14:paraId="444B22B3">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劳工合规</w:t>
      </w:r>
    </w:p>
    <w:p w14:paraId="37C99B5A">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印尼劳动用工制度以《创造就业法》及相关政府条例、部长条例为核心，并辅以集体协议、公司条例和地方最低工资规则。印尼没有全国统一的最低工资金额，而是实行省级、市县级分层制度；企业应按照员工实际工作地点执行适用的省级或市县级最低工资，相关标准通常每年调整。</w:t>
      </w:r>
    </w:p>
    <w:p w14:paraId="117F05BF">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印尼社会保障主要包括就业保障和医疗保障。就业保障涵盖工伤、死亡、养老储蓄和养老金等项目：工伤和死亡保障原则上由雇主承担，养老储蓄和养老金由雇主与雇员共同缴费；符合条件的外籍员工通常不参加失业保险。企业还须依法缴纳外籍员工补偿基金、办理宗教节日津贴及工资、工时、休假和职业安全等义务。</w:t>
      </w:r>
    </w:p>
    <w:p w14:paraId="356F9283">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印尼法律保障员工组建工会、开展集体谈判和依法罢工。企业调整工资制度、工作时间或员工手册等重大劳动事项时，应依法履行协商或通知程序，但工会并非对所有管理事项均享有决定权。解除劳动关系须具备法定理由、履行相应程序，并视情况支付遣散费、服务期补偿、权利补偿及其他法定款项；仅支付经济补偿金并不足以当然合法解雇。</w:t>
      </w:r>
    </w:p>
    <w:p w14:paraId="5AFB1F7D">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印尼外籍员工制度以保护本国就业为原则。企业雇用外籍研发、临床、设备维修等人员，通常须先取得经批准的外籍员工使用计划，并办理工作许可和居留许可。外籍员工不得担任人力资源、人事管理或劳资关系岗位，原则上不得兼任其他职务，还须安排印尼员工接受培训并完成知识转移。外籍员工与本地员工的比例、岗位限制和培训义务应结合行业、企业类型及RPTKA审批条件确定。</w:t>
      </w:r>
    </w:p>
    <w:p w14:paraId="510C2642">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环境保护合规</w:t>
      </w:r>
    </w:p>
    <w:p w14:paraId="5A24A2D1">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印尼2025年第28号政府条例将环境审批分为环境影响评估（AMDAL）、环境管理与监测计划（UKL-UPL）和环境管理能力声明（SPPL）三种形式，依据项目风险等级差异化适用。AMDAL适用于可能产生重大环境影响的高风险项目，须完成完整环评报告并经公众咨询和政府审核</w:t>
      </w:r>
      <w:r>
        <w:rPr>
          <w:rFonts w:hint="eastAsia" w:ascii="Times New Roman" w:hAnsi="Times New Roman"/>
          <w:sz w:val="28"/>
          <w:szCs w:val="28"/>
          <w:lang w:val="en-GB"/>
        </w:rPr>
        <w:t>。</w:t>
      </w:r>
    </w:p>
    <w:p w14:paraId="4A871AE5">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知识产权与商业秘密保护</w:t>
      </w:r>
    </w:p>
    <w:p w14:paraId="3C1F9D68">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知识产权保护方面，印尼现行法律体系包括2001年《专利法》、2001年《商标法》、2002年《著作权法》和2000年《商业秘密法》。印尼是《保护工业产权巴黎公约》《专利合作条约》和《与贸易有关的知识产权协议》的成员国。</w:t>
      </w:r>
    </w:p>
    <w:p w14:paraId="23E66CEF">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数据安全与隐私合规</w:t>
      </w:r>
    </w:p>
    <w:p w14:paraId="6FD3B423">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2022 年印尼正式实施《个人数据保护法》，确立了个人数据处理的基本原则与规则体系，填补了专门数据立法的空白。该法规定，个人数据处理需遵循合法、正当、必要、目的限定、数据最小化等原则，处理健康数据、生物识别数据等特殊类别个人数据，需满足更严格的合规条件，获得数据主体的明确同意。数据控制者需履行数据安全保障、数据泄露通知、合规审计等义务，建立完善的数据安全保护体系。违反个人数据保护法的企业最高可处年收入一定比例的罚款，相关责任人可能面临监禁处罚。</w:t>
      </w:r>
    </w:p>
    <w:p w14:paraId="59EDD19B">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个人数据跨境传输方面，印尼法律规定需满足多项法定条件之一，包括接收方所在国具备充分的数据保护水平、签订标准合同条款、获得数据主体明确同意等，部分公共服务领域的重要数据要求本地化存储。对于医疗器械企业而言，设备采集的患者健康数据、诊疗数据均属于敏感个人数据，数据处理、存储、传输均需严格遵守法律规定，尤其是联网医疗设备、远程医疗服务等业务场景，需建立完善的数据治理与安全防护体系。</w:t>
      </w:r>
    </w:p>
    <w:p w14:paraId="138F1DC6">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反商业贿赂合规</w:t>
      </w:r>
    </w:p>
    <w:p w14:paraId="612D3C6D">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印尼反腐败制度以1999年第31号《根除贪污犯罪法》及其2001年第20号修订法为核心，并辅以1980年第11号《贿赂罪法》、1999年第28号《国家官员廉洁法》、2002年第15号《反洗钱法》和2002年第30号《根除腐败委员会法》等法律法规。印尼肃贪委员会（KPK）是最重要的反腐败专门机构之一，具有调查、侦查和协调起诉等重大腐败案件的职权，但并非所有商业贿赂案件均由KPK独家管辖，警察、检察机关及其他主管机关也可能参与执法。</w:t>
      </w:r>
    </w:p>
    <w:p w14:paraId="1F740674">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印尼反腐败规则不仅规制贿赂公职人员，也覆盖私人主体之间的商业贿赂、利益输送、利用影响力谋利及通过第三方实施的不当利益安排。自然人可能面临监禁、罚金、追缴和资格限制；企业虽不当然因员工个人行为承担刑事责任，但可能因管理层参与、控制缺失或未建立适当合规体系而承担罚款、赔偿、合同解除、采购限制等风险。法院还可以判处追缴非法所得，主管机关可根据采购违法情况将企业列入黑名单或限制其参加公共采购。</w:t>
      </w:r>
    </w:p>
    <w:p w14:paraId="41285659">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公共采购、医疗健康、基础设施建设及国有项目管理属于腐败高风险领域。医疗器械企业参与公立医院采购、经销商遴选、招投标、产品注册、临床合作和市场推广时，应重点审查代理商、顾问、佣金、礼品招待、学术赞助、捐赠及付款安排。并非所有礼品、招待或赞助均被法律绝对禁止，但如果其与合同授予、许可审批或公职人员职务行为存在交换关系，则可能构成贿赂。</w:t>
      </w:r>
    </w:p>
    <w:p w14:paraId="7475EF12">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印尼反腐败规则具有一定域外适用空间。境外行为如果在印尼实施，或涉及印尼企业、公共项目、国有资产及在印尼产生实质影响的利益输送，可能受到印尼主管机关调查。企业可通过行为准则、第三方尽调、礼品招待审批、异常付款监测、财务对账、举报机制和调查处置制度降低风险，但有效合规不能当然免除已经发生的违法责任。</w:t>
      </w:r>
    </w:p>
    <w:p w14:paraId="6B6183F1">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争议解决</w:t>
      </w:r>
    </w:p>
    <w:p w14:paraId="174BB3F1">
      <w:pPr>
        <w:spacing w:before="120" w:beforeLines="50" w:after="120" w:afterLines="50" w:line="360" w:lineRule="auto"/>
        <w:ind w:firstLine="560" w:firstLineChars="200"/>
        <w:jc w:val="both"/>
        <w:rPr>
          <w:rFonts w:ascii="Times New Roman" w:hAnsi="Times New Roman"/>
          <w:sz w:val="28"/>
          <w:szCs w:val="28"/>
        </w:rPr>
      </w:pPr>
      <w:r>
        <w:rPr>
          <w:rFonts w:ascii="Times New Roman" w:hAnsi="Times New Roman"/>
          <w:sz w:val="28"/>
          <w:szCs w:val="28"/>
        </w:rPr>
        <w:t>印尼是《纽约公约》缔约国和《关于解决国家与其他国家国民之间投资争端公约》签约国。中国与印尼签署了《关于相互鼓励和保护投资协定》，投资者可将投资争端提交解决投资争端国际中心（ICSID）仲裁。印尼国内仲裁主要由印尼国家仲裁委员会（BANI）受理。</w:t>
      </w:r>
    </w:p>
    <w:p w14:paraId="7887651F">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马来西亚</w:t>
      </w:r>
    </w:p>
    <w:p w14:paraId="46F3280D">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外商投资审查</w:t>
      </w:r>
    </w:p>
    <w:p w14:paraId="0BC46E33">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马来西亚目前没有统一、专门的外商投资国家安全审查法律或程序</w:t>
      </w:r>
      <w:r>
        <w:rPr>
          <w:rFonts w:hint="eastAsia" w:ascii="Times New Roman" w:hAnsi="Times New Roman"/>
          <w:sz w:val="28"/>
          <w:szCs w:val="28"/>
          <w:lang w:val="en-GB"/>
        </w:rPr>
        <w:t>。</w:t>
      </w:r>
      <w:r>
        <w:rPr>
          <w:rFonts w:ascii="Times New Roman" w:hAnsi="Times New Roman"/>
          <w:sz w:val="28"/>
          <w:szCs w:val="28"/>
          <w:lang w:val="en-GB"/>
        </w:rPr>
        <w:t>外资准入主要通过《1965年投资促进法》以及行业许可、股权限制和审批制度实施。MIDA负责制造业及部分相关服务业的投资促进、审批和协调，金融、能源、通信、医疗、教育、媒体等行业则由相应主管部门监管。制造业大部分领域允许外资全资进入，但涉及战略、公共利益、国家安全、土地及受监管行业时，政府可设置外资比例、本地参与或许可条件</w:t>
      </w:r>
      <w:r>
        <w:rPr>
          <w:rFonts w:hint="eastAsia" w:ascii="Times New Roman" w:hAnsi="Times New Roman"/>
          <w:sz w:val="28"/>
          <w:szCs w:val="28"/>
          <w:lang w:val="en-GB"/>
        </w:rPr>
        <w:t>。</w:t>
      </w:r>
    </w:p>
    <w:p w14:paraId="30F19914">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马来西亚也没有一般性的投资安全审查机制，但2025年美马贸易安排包含建立投资审查机制的承诺，重点关注关键矿产和关键基础设施。相关安排不能直接等同于已经生效的马来西亚国内安审法，最终制度仍取决于国内立法。制造业企业依据《1975年工业协调法》，在实缴股本超过250万林吉特或全职员工超过75人等条件下，通常须取得制造执照。医疗器械企业的生产、研发和分销业态分别受投资、行业、产品和许可规则约束，不能仅以医疗器械</w:t>
      </w:r>
      <w:r>
        <w:rPr>
          <w:rFonts w:hint="eastAsia" w:ascii="Times New Roman" w:hAnsi="Times New Roman"/>
          <w:sz w:val="28"/>
          <w:szCs w:val="28"/>
          <w:lang w:val="en-GB"/>
        </w:rPr>
        <w:t>这一品类</w:t>
      </w:r>
      <w:r>
        <w:rPr>
          <w:rFonts w:ascii="Times New Roman" w:hAnsi="Times New Roman"/>
          <w:sz w:val="28"/>
          <w:szCs w:val="28"/>
          <w:lang w:val="en-GB"/>
        </w:rPr>
        <w:t>判断开放程度。</w:t>
      </w:r>
    </w:p>
    <w:p w14:paraId="09C4610A">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反垄断与经营者集中审查</w:t>
      </w:r>
    </w:p>
    <w:p w14:paraId="75D32227">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马来西亚以《2010年竞争法》及《2010年竞争委员会法》为基础，由马来西亚竞争委员会负责反竞争协议、滥用市场支配地位及相关执法。截至目前，马来西亚尚未建立覆盖全经济领域的经营者集中强制申报和事前批准制度。航空、通信等特定行业存在专门的行业并购或许可证审查安排，但其标准、程序和主管机关不同。</w:t>
      </w:r>
    </w:p>
    <w:p w14:paraId="4DCB6D30">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目前，《2026年竞争（修正）法案》虽已通过议会相关阶段，但尚未正式刊宪并确定生效日期。该轮修法重点强化卡特尔、纵向限制、调查权限、和解和上诉制度，仍未引入一般经营者集中控制制度。医疗器械企业仍应审查经销、转售价格维持、市场划分、招投标及渠道排他安排，但普通并购通常不存在全国性强制申报义务；医疗行业也不是当然的反垄断重点行业。</w:t>
      </w:r>
    </w:p>
    <w:p w14:paraId="102898E4">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劳工合规</w:t>
      </w:r>
    </w:p>
    <w:p w14:paraId="3AB30295">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马来西亚没有全国统一适用的法定最低工资，最低工资政策通常根据半岛、沙巴和砂拉越等区域分别规定。2025年相关最低工资政策继续适用，但须以主管机构最新通知确认。雇主通常须为适用员工缴纳雇员公积金、社会保险及就业保险。</w:t>
      </w:r>
    </w:p>
    <w:p w14:paraId="007E1D20">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自2023年1月1日起，雇主聘用非马来西亚公民或非永久居民前，原则上须依据《雇佣法》第60K条取得JTKSM事先批准；批准期限和办理流程可能随系统及政策调整，正式材料宜核实当期规定。外籍专业人才通过就业准证渠道办理，不同类别在薪资、期限和公司资本方面适用不同条件；2026年就业准证政策调整后，EP1等类别的最低薪资门槛已经变化。普通外籍劳工与专业人才适用不同制度，企业还须履行本地招聘测试、岗位和配额审核等要求。</w:t>
      </w:r>
    </w:p>
    <w:p w14:paraId="0130143E">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环境保护合规</w:t>
      </w:r>
    </w:p>
    <w:p w14:paraId="2E88468C">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马来西亚环境保护以《1974年环境质量法》为核心，并辅以环境影响评价、污染排放、危险废物及工业场地等专门法规。并非所有工业活动都适用完全相同的环评程序，但制造业、基础设施及其他规定项目通常需要开展环境评价，取得主管部门批准后方可建设运营。企业还须遵守废气、废水、噪声、固体废物、危险化学品和环境监测要求。医疗废弃物通常按照危险废物规则进行分类、标识、储存和交由持证机构处置，但生产企业、医疗机构和处理商的责任并不完全相同。</w:t>
      </w:r>
    </w:p>
    <w:p w14:paraId="2C854A2B">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环境质量法》2024年修正案提高了部分环境违法处罚，对严重违反环评或许可条件的行为可能引入监禁。自2025年起，部分环评报告的执行摘要依法向公众开放。马来西亚还通过能源转型、绿色技术和循环经济政策推动低碳投资，医疗器械企业应重点关注污染物管理、废弃物处置、绿色制造要求及地方许可条件。</w:t>
      </w:r>
    </w:p>
    <w:p w14:paraId="107B2914">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知识产权与商业秘密保护</w:t>
      </w:r>
    </w:p>
    <w:p w14:paraId="50C2E6AC">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马来西亚通过《专利法》《商标法》《版权法》《工业设计法》及《集成电路布图设计法》等保护知识产权，并由马来西亚知识产权局负责相关注册和管理。马来西亚是《与贸易有关的知识产权协定》及多项世界知识产权组织条约的成员国。发明专利通常自申请日起保护20年，商标通常每10年可续展，但须满足维持、使用及续展条件。</w:t>
      </w:r>
    </w:p>
    <w:p w14:paraId="5FE39A1A">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商业秘密主要由普通法、合同和侵权规则保护，法律禁止以不正当手段获取、披露或使用他人保密信息。企业可通过保密协议、访问权限、数据分级、离职管理和违约救济保护研发数据、临床资料及工艺诀窍。医疗器械企业进入马来西亚前，应分别评估专利、商标、注册数据和商业秘密布局。</w:t>
      </w:r>
    </w:p>
    <w:p w14:paraId="399BB19F">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数据安全与隐私合规</w:t>
      </w:r>
    </w:p>
    <w:p w14:paraId="687C3FBB">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马来西亚以《2010年个人数据保护法》为主要法律依据，对健康、种族、宗教等敏感个人数据采取更严格保护。数据处理须符合通知、目的限制、数据最小化、准确性、安全保障和保留限制等原则；健康数据通常要求具有明确合法目的、适当安全措施及必要的访问控制。发生数据泄露时，是否必须通知监管机构和数据主体，应结合事件风险、法律义务及主管部门要求判断。</w:t>
      </w:r>
    </w:p>
    <w:p w14:paraId="24F9FE93">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数据处理者向境外第三方披露个人数据，通常须取得数据主体同意或具备法定例外，并履行通知等义务。医疗器械企业处理联网设备、远程诊疗和患者健康数据时，应评估数据控制者或处理者身份、跨境披露基础、云服务商位置、网络安全及事件响应。</w:t>
      </w:r>
    </w:p>
    <w:p w14:paraId="25A810C4">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反商业贿赂合规</w:t>
      </w:r>
    </w:p>
    <w:p w14:paraId="63649C36">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马来西亚反商业贿赂制度以《2009年马来西亚反贪污委员会法》为核心，并辅以《刑法》及公职人员纪律规则。MACC，马来语简称SPRM，是负责调查、预防腐败和执法的专门机构。法律同时规制公职人员贿赂、私人主体之间的商业贿赂、代理人收受利益及利用影响力谋利等行为。</w:t>
      </w:r>
    </w:p>
    <w:p w14:paraId="3B97EDFE">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2018年修法新增商业组织责任条款。与商业组织有关的个人为其利益实施特定贿赂行为时，企业可能承担责任；但企业可证明已经建立适当预防程序，作为法定抗辩。责任人可能面临监禁、罚款，企业也可能承担高额罚款、追缴及声誉损失，但处罚种类和上限须按具体罪名确定。公共采购、医疗、基建和政府采购代理属于高风险领域，礼品、招待、回扣、赞助和捐赠不当然违法，但若与合同、许可或职务行为存在利益交换，则可能构成贿赂。</w:t>
      </w:r>
    </w:p>
    <w:p w14:paraId="4E920B5B">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争议解决</w:t>
      </w:r>
    </w:p>
    <w:p w14:paraId="49C61D56">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马来西亚支持协商、调解、仲裁和诉讼等多元争议解决方式。吉隆坡区域仲裁中心是重要仲裁机构，相关裁决可依据《纽约公约》在包括马来西亚在内的其他缔约国申请承认与执行。马来西亚也是《解决国家与他国国民间投资争端公约》成员国，但签署公约不等于所有投资争端均可自动提交国际仲裁，还取决于投资协定和争端方同意。</w:t>
      </w:r>
    </w:p>
    <w:p w14:paraId="4D4EC79F">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中国与马来西亚1988年签署的《相互鼓励和保护投资协定》为投资者提供国民待遇、公平与公正待遇、征收补偿及资金转移等保护，并包含投资争端解决安排。中国法院判决在马来西亚通常不能自动直接执行，当事人一般须依据马来西亚法律及双边司法协助安排申请承认和执行。发生争议时，企业宜先评估合同中的仲裁条款、适用法、资产所在地和裁决执行路径，再选择当地诉讼、国际仲裁或投资仲裁。</w:t>
      </w:r>
    </w:p>
    <w:p w14:paraId="7D3F40A8">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越南</w:t>
      </w:r>
    </w:p>
    <w:p w14:paraId="054C8984">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外商投资审查</w:t>
      </w:r>
    </w:p>
    <w:p w14:paraId="76CA4DCB">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越南外商投资管理以修订后的《投资法》为核心，由计划与投资部统筹全国投资管理，省级计划与投资厅及工业园区管理机构负责属地审批、登记和监管。现行负面清单分为禁止投资和附条件投资两类：前者主要涵盖武器、毒品、人口交易、破坏性捕捞及部分影响国防安全的领域；后者覆盖金融、电信、交通、能源、教育、医疗、法律、旅游和自然资源开发等，但相关行业数量及具体准入条件应以最新清单为准。</w:t>
      </w:r>
    </w:p>
    <w:p w14:paraId="3F1B951C">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修订后的《投资法》自2026年3月1日起生效，其中附条件投资经营相关条款自2026年7月1日起适用。负面清单外的一般投资项目原则上可采用“先设立企业、后办理经营许可”的模式；国防、机场、港口、电信、出版等法定敏感项目仍须取得事前投资主张批准。越南没有统一的外国投资国家安全审查法，但涉及国防、国家安全、边境岛屿及战略资源的项目，仍可能受到政府、国会或主管部门的个案审批。</w:t>
      </w:r>
    </w:p>
    <w:p w14:paraId="2034381A">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反垄断与经营者集中审查</w:t>
      </w:r>
    </w:p>
    <w:p w14:paraId="4426144D">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越南以2018年《竞争法》及配套法令建立经营者集中申报制度。达到法定营业额、市场份额或其他集中门槛的交易，原则上应在实施前向越南竞争委员会申报，未经批准不得交割。审查通常分为初步审查和正式审查：初步审查一般不超过30日，正式审查一般不超过90日，依法可延长60日。未依法申报或违反竞争规则的交易，可能受到附条件批准、禁止集中或行政处罚。</w:t>
      </w:r>
    </w:p>
    <w:p w14:paraId="0E590AA0">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越南目前没有覆盖全经济领域的统一外资并购安全审查机制。外国投资者收购越南企业股权时，除反垄断申报外，还须判断目标行业是否属于附条件投资领域、交易是否导致外资控制权超过法定比例，以及是否涉及边境、海岛等国家安全敏感区域。医疗器械并购应重点评估市场份额、渠道控制、经销排他安排和公共采购竞争影响。</w:t>
      </w:r>
    </w:p>
    <w:p w14:paraId="08F9530D">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劳工合规</w:t>
      </w:r>
    </w:p>
    <w:p w14:paraId="2320306E">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越南以2019年《劳动法典》及2025年新修订的外籍劳工配套法令为主要依据，并实行按地区划分的最低工资制度。企业通常须为员工缴纳社会保险、医疗保险和失业保险；社会保险缴费通常由雇主和雇员共同承担，但医疗保险、失业保险等具体比例和适用范围不同，工会费也不能与社会保险费混同。</w:t>
      </w:r>
    </w:p>
    <w:p w14:paraId="5FF3D2AB">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越南没有全国统一的外籍劳工比例上限。企业聘用外籍员工原则上须事先申请工作许可，并在规定期限前通过电子系统申报岗位需求。工作许可通常最长不超过2年，可依法续期；企业所有者、出资人或国际组织代表等特定人员可能依法豁免工作许可。2025年新法令加强了外籍员工岗位说明、本地招聘测试、工作许可电子化及违规处罚要求，医疗器械企业聘用研发、临床和售后技术人员应按岗位逐一核实资格、许可和签证要求。</w:t>
      </w:r>
    </w:p>
    <w:p w14:paraId="27E5C5C3">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环境保护合规</w:t>
      </w:r>
    </w:p>
    <w:p w14:paraId="34E082F0">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越南环境保护以《环境保护法》为核心，配套多项专项法规与技术标准，建立了项目准入、运营监管、违法处罚全流程环保监管体系。新建投资项目必须根据项目性质与环境影响程度，开展环境影响评价，编制环境影响评价报告或环境影响登记表，经自然资源与环境部门审批通过，取得环境许可证后方可建设。企业运营期间需遵守废气、废水、固体废物的排放标准，定期开展环境监测，保存监测记录。医疗废弃物属于危险废弃物，需按照危险废物管理规定进行分类收集、储存，交由具备资质的单位处置，禁止混入普通废弃物或自行排放。</w:t>
      </w:r>
    </w:p>
    <w:p w14:paraId="240BF466">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知识产权与商业秘密保护</w:t>
      </w:r>
    </w:p>
    <w:p w14:paraId="0B1FD81B">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越南以修订后的《知识产权法》为基础保护专利、商标、工业设计、版权、地理标志和商业秘密，相关事务由科技部国家知识产权局负责管理。越南是《巴黎公约》《专利合作条约》及世界知识产权组织相关条约成员国，并承担CPTPP、EVFTA等协定中的知识产权保护义务。发明专利一般自申请日起保护20年，商标保护期为10年并可续展，但具体期限以实际授权和维持条件为准。</w:t>
      </w:r>
    </w:p>
    <w:p w14:paraId="79ABC445">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越南法律禁止以盗窃、欺诈、胁迫或违反保密义务等不正当手段获取、披露或使用商业秘密。医疗器械企业应及时开展专利、商标和注册数据布局，并通过保密协议、权限控制、数据分级、研发记录管理和离职交接制度保护临床资料、产品配方及工艺技术。</w:t>
      </w:r>
    </w:p>
    <w:p w14:paraId="4D957564">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数据安全与隐私合规</w:t>
      </w:r>
    </w:p>
    <w:p w14:paraId="258C2E2A">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越南自2026年1月1日起施行新的《个人数据保护法》。该法取代原《个人数据保护法令》的主要规则，并与《数据法》《网络安全法》等共同构成数据治理框架。法律将个人数据分为一般个人数据和敏感个人数据，健康信息、生物识别数据及与刑事记录有关的数据属于敏感个人数据，处理时须满足合法性基础、明确目的、最小必要和安全保障等要求。</w:t>
      </w:r>
    </w:p>
    <w:p w14:paraId="79C54D93">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跨境传输个人数据须遵守数据分类、传输影响评估、主管部门备案或通知等规则；并非所有健康数据均被法律要求本地存储，但提供电信、社交网络、电子商务、在线支付、数据存储和数据处理等服务的企业，可能承担额外的数据本地化或网络安全义务。医疗器械企业处理远程诊疗、联网设备和患者健康数据时，应建立数据地图、跨境传输评估、访问控制和数据泄露响应机制。</w:t>
      </w:r>
    </w:p>
    <w:p w14:paraId="213DEED9">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反商业贿赂合规</w:t>
      </w:r>
    </w:p>
    <w:p w14:paraId="1C406AA4">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越南反商业贿赂制度主要由《刑法典》《反腐败法》及招标、采购等专门规则构成，由政府监察机构、公安机关、检察机关和主管部门按照职责调查执法。法律规制公职人员受贿、向公职人员行贿、私营部门商业贿赂、利用影响力谋利及通过第三方输送不正当利益等行为。</w:t>
      </w:r>
    </w:p>
    <w:p w14:paraId="6000CAC7">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个人行贿、受贿金额达到法定门槛的，可能面临有期徒刑、罚金及没收财产；企业还可能承担罚款、没收违法所得、禁止参与公共采购或投资项目等后果。医疗采购、招标代理、经销商返利、学术赞助和礼品招待属于高风险环节。企业可通过反贿赂政策、第三方尽调、付款审批、礼品登记和举报机制降低风险，但有效合规不能当然免除已经实施的违法责任。</w:t>
      </w:r>
    </w:p>
    <w:p w14:paraId="19702D3B">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争议解决</w:t>
      </w:r>
    </w:p>
    <w:p w14:paraId="4E9B25D6">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越南是《纽约公约》成员国，也是《解决国家与他国国民间投资争端公约》成员国。中国与越南1992年签署的双边投资协定为投资者提供国民待遇、公平与公正待遇、征收补偿、资金转移及投资争端解决等保护。越南国际仲裁中心是当地重要的商事仲裁机构，符合程序的仲裁裁决可依据《纽约公约》在越南申请承认与执行。</w:t>
      </w:r>
    </w:p>
    <w:p w14:paraId="18A9E79E">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中国法院判决在越南通常不能自动直接执行，当事人须依据中越司法协助安排及越南法律申请承认和执行，是否获得执行取决于判决性质、送达程序及公共政策等条件。仲裁条款、适用法律、证据保存、资产所在地和裁决执行路径，应在争议发生前纳入医疗器械经销、投资及采购合同。</w:t>
      </w:r>
    </w:p>
    <w:p w14:paraId="7EA06A88">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泰国</w:t>
      </w:r>
    </w:p>
    <w:p w14:paraId="327C52A6">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外商投资审查</w:t>
      </w:r>
    </w:p>
    <w:p w14:paraId="4BF2BB29">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泰国外商投资准入以1999年《外商经营法》为核心，由商业部商业发展厅负责外国企业经营许可、登记及监管。该法并未采用单一的外资持股比例限制，而是通过三张业务清单实施分类管理。清单一原则上禁止外国人经营，主要包括新闻及广播电视、水稻种植、畜牧、林业、泰国水域捕捞、泰国药材加工、古董及历史文物经营、佛像制作和土地交易等。清单二涉及国家安全、艺术文化、自然资源和环境，须经商业部长根据内阁决议批准；清单三主要是泰国经营者尚不具备充分竞争能力的行业，须经商业发展厅厅长依据外商经营企业委员会意见批准，包括部分零售、批发、广告、酒店、旅游、餐饮、会计、法律和工程服务。</w:t>
      </w:r>
    </w:p>
    <w:p w14:paraId="3A030184">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清单二原则上要求泰国人或符合规定的非外国法人持股不少于40%，特殊情况下可降至不少于25%，同时泰国籍董事不少于五分之二。清单三经批准后可以允许外资全资经营。外国投资者通常包括不具有泰国国籍的自然人、未在泰国注册的企业，以及在泰国注册但外国人合计持股达到50%以上的企业。清单二和清单三行业的最低投资额通常为300万泰铢，其他行业通常不少于200万泰铢。</w:t>
      </w:r>
    </w:p>
    <w:p w14:paraId="22F0A7F2">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泰国没有覆盖全部行业的统一国家安全审查机制，但涉及国防、安全、自然资源、土地及受监管行业的项目可能受到多部门审查。投资促进委员会可以对符合鼓励条件的医疗、生物技术、先进制造、数字经济和绿色能源项目给予税收、土地、签证及进口设备等优惠，但投资促进委员会的批准并不当然突破《外商经营法》的行业限制。</w:t>
      </w:r>
    </w:p>
    <w:p w14:paraId="0567B7C0">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反垄断与经营者集中审查</w:t>
      </w:r>
    </w:p>
    <w:p w14:paraId="319355C6">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泰国以2017年《贸易竞争法》为并购控制主要法律依据，由贸易竞争委员会负责执法。泰国并未实行所有并购一律事前申报的制度，而是根据交易类型、市场结构和是否可能产生市场支配地位，分别适用事前许可及特定情形下的集中后报告。</w:t>
      </w:r>
    </w:p>
    <w:p w14:paraId="7C4E63C5">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企业合并、收购上市公司25%以上股份、收购非上市公司50%以上有表决权股份，以及收购另一企业50%以上资产等交易，通常需要事前申报。参与集中的经营者在泰国境内上一年度营业额达到10亿泰铢以上，且交易不会导致市场支配地位的，通常须在交易完成后七日内报告。达到事前申报条件的交易，未经批准不得实施。</w:t>
      </w:r>
    </w:p>
    <w:p w14:paraId="7700E324">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审查重点包括相关市场份额、市场集中度、进入壁垒、渠道控制及竞争影响。电信、广播、能源等特定行业还适用专门审查规则。医疗器械企业在实施横向并购、经销商收购或整合销售渠道前，应结合泰国境内营业额、市场份额及业务重叠情况判断是否申报。</w:t>
      </w:r>
    </w:p>
    <w:p w14:paraId="7816C43A">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劳工合规</w:t>
      </w:r>
    </w:p>
    <w:p w14:paraId="2C8D4252">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泰国以《劳动保护法》为主要用工法律依据，并辅以社会保险、工伤补偿、最低工资及外籍劳工管理规则。最低工资通常按照地区和行业规定执行，并非全国统一单一标准。企业通常须为员工缴纳社会保险、公积金及相关法定保障费用，但养老、医疗、工伤、失业等项目的具体缴费主体和比例不同。</w:t>
      </w:r>
    </w:p>
    <w:p w14:paraId="423609FF">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外籍员工一般须先取得相应签证和工作许可证后方可工作。非投资促进委员会企业聘用外籍员工通常须满足实缴资本、泰国员工人数及岗位要求；实践中常见条件包括企业实缴资本不低于200万泰铢、每名外籍员工对应不少于四名泰国员工。投资促进委员会企业可以在批准范围内适用更灵活的外籍人员政策。</w:t>
      </w:r>
    </w:p>
    <w:p w14:paraId="1C72D17E">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解雇须具有法定事由并履行相应程序。企业还应关注裁员、遣散费、不公平解雇、工会协商和劳动争议处理规则。</w:t>
      </w:r>
    </w:p>
    <w:p w14:paraId="7BDBA251">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环境保护合规</w:t>
      </w:r>
    </w:p>
    <w:p w14:paraId="7D31501B">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泰国环境保护以《国家环境质量促进和保护法》为核心，并辅以环境影响评价、废物、危险物质、工厂及空气污染等专门规则。是否属于环境影响评估项目、环评类别及审批机关，取决于项目规模、地点、行业和风险程度。</w:t>
      </w:r>
    </w:p>
    <w:p w14:paraId="67DB059B">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部分工业项目须取得环境许可，建设项目还须分别办理建筑、工厂、排污、危险废物及运营相关许可。常见风险包括未批先建、超标排放、扬尘和噪声控制不足、危险废物非法转运、擅自扩产或改变生产工艺。</w:t>
      </w:r>
    </w:p>
    <w:p w14:paraId="33EEEB92">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医疗废弃物通常按照危险废物规则实施分类、包装、标识、储存、运输和处置，生产企业、医疗机构及处置企业承担不同责任。泰国正在推进气候变化和碳减排立法，但相关法案的正式名称、生效日期及企业义务应以最新官方文本为准。</w:t>
      </w:r>
    </w:p>
    <w:p w14:paraId="6FD01A7A">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知识产权与商业秘密保护</w:t>
      </w:r>
    </w:p>
    <w:p w14:paraId="1D949D61">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泰国通过《专利法》《商标法》《著作权法》《商业秘密法》及《集成电路布图设计保护法》等保护知识产权，相关事务主要由商务部知识产权厅管理。泰国是《巴黎公约》《专利合作条约》及世界知识产权组织相关条约的成员国。发明专利通常自申请日起保护二十年，商标通常每十年可续展，具体期限取决于专利类型、维持缴费及授权条件。泰国对药品和医疗器械专利设有加快审查安排，但并非所有医疗专利均可快速授权，仍需满足加快审查条件。商业秘密持有人可以依据合同法、侵权法及专门规则，针对盗窃、欺诈、违反保密义务等不正当行为寻求禁令、损害赔偿或刑事救济。</w:t>
      </w:r>
    </w:p>
    <w:p w14:paraId="69664ACF">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数据安全与隐私合规</w:t>
      </w:r>
    </w:p>
    <w:p w14:paraId="01626E56">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泰国《个人数据保护法》自2022年6月1日起全面生效，适用于在泰国收集、使用或披露个人数据，以及向泰国境内数据主体提供商品或服务而处理其个人数据等情形，具有一定域外效力。</w:t>
      </w:r>
    </w:p>
    <w:p w14:paraId="382F7C4F">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法律将个人数据分为一般数据和敏感数据。健康数据、生物识别数据、遗传数据、政治观点及刑事记录等属于敏感个人数据，原则上须取得明示同意或具备其他法定基础，并落实目的限制、数据最小化、安全保障和留存限制。</w:t>
      </w:r>
    </w:p>
    <w:p w14:paraId="1450C65C">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发生个人数据泄露时，数据控制者须在规定期限内评估并通知主管机关和数据主体。向泰国境外传输个人数据须符合跨境传输条件，但法律并未要求所有健康数据一律在泰国境内存储。</w:t>
      </w:r>
    </w:p>
    <w:p w14:paraId="79D6851F">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反商业贿赂合规</w:t>
      </w:r>
    </w:p>
    <w:p w14:paraId="35B31AF7">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泰国没有一部涵盖所有腐败行为的统一《反贿赂法》，而是通过《刑法》《反腐败法》《政府采购法》《证券与交易法》及公职人员纪律规则等共同规制。泰国反腐败委员会负责预防和打击公共部门腐败，但商业贿赂、公职人员贿赂、私营部门腐败及跨国腐败并非由单一机构独家管辖。向公职人员提供不正当利益，可能构成行贿；公务员索取或收受利益也可能构成受贿。</w:t>
      </w:r>
    </w:p>
    <w:p w14:paraId="35BDDDF7">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泰国法律还规制私营部门中的背信、虚假陈述、利用影响力及通过代理人输送利益等行为。医疗采购、经销商返利、学术赞助和礼品招待属于高风险领域。礼品和招待并非绝对禁止，但若与合同、许可、付款或公共职务行为存在利益交换，则可能构成违法。</w:t>
      </w:r>
    </w:p>
    <w:p w14:paraId="4FF90F31">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争议解决</w:t>
      </w:r>
    </w:p>
    <w:p w14:paraId="5753AF37">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泰国是1958年《承认及执行外国仲裁裁决公约》，即《纽约公约》的缔约国。符合公约条件的外国仲裁裁决，可以向泰国有管辖权的法院申请承认与执行。泰国仲裁中心是当地重要的商事仲裁机构之一，当事人也可以选择国际商会仲裁院、新加坡国际仲裁中心或香港国际仲裁中心等机构，但应明确仲裁地，因为仲裁地会影响程序法和裁决国籍。</w:t>
      </w:r>
    </w:p>
    <w:p w14:paraId="6B23ED32">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泰国于1985年与中国签署民商事司法协助和仲裁合作协定。中泰双边投资协定为投资者提供国民待遇、公平与公正待遇、征收补偿及资金转移等保护，但投资争端能否提交国际仲裁，取决于协定中的同意、用尽当地救济及其他程序条件。</w:t>
      </w:r>
    </w:p>
    <w:p w14:paraId="5C4F98DD">
      <w:pPr>
        <w:pStyle w:val="26"/>
        <w:numPr>
          <w:ilvl w:val="1"/>
          <w:numId w:val="6"/>
        </w:numPr>
        <w:spacing w:before="120" w:beforeLines="50" w:after="120" w:afterLines="50" w:line="360" w:lineRule="auto"/>
        <w:jc w:val="center"/>
        <w:outlineLvl w:val="2"/>
        <w:rPr>
          <w:rFonts w:ascii="Times New Roman" w:hAnsi="Times New Roman"/>
          <w:b/>
          <w:bCs/>
          <w:sz w:val="28"/>
          <w:szCs w:val="28"/>
          <w:lang w:val="en-GB"/>
        </w:rPr>
      </w:pPr>
      <w:r>
        <w:rPr>
          <w:rFonts w:hint="eastAsia" w:ascii="Times New Roman" w:hAnsi="Times New Roman"/>
          <w:b/>
          <w:bCs/>
          <w:sz w:val="28"/>
          <w:szCs w:val="28"/>
          <w:lang w:val="en-GB"/>
        </w:rPr>
        <w:t xml:space="preserve"> </w:t>
      </w:r>
      <w:bookmarkStart w:id="46" w:name="_Toc1036318390"/>
      <w:r>
        <w:rPr>
          <w:rFonts w:hint="eastAsia" w:ascii="Times New Roman" w:hAnsi="Times New Roman"/>
          <w:b/>
          <w:bCs/>
          <w:sz w:val="28"/>
          <w:szCs w:val="28"/>
          <w:lang w:val="en-GB"/>
        </w:rPr>
        <w:t>中亚地区</w:t>
      </w:r>
      <w:bookmarkEnd w:id="46"/>
    </w:p>
    <w:p w14:paraId="75D897D6">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俄罗斯</w:t>
      </w:r>
    </w:p>
    <w:p w14:paraId="667B8B56">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外商投资审查</w:t>
      </w:r>
    </w:p>
    <w:p w14:paraId="6D083118">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俄罗斯外商投资管理以《外国投资法》为基础，涉及国防和国家安全的投资则适用《关于外资进入对保障俄罗斯联邦国防和国家安全具有战略意义的商业组织程序法》。普通医疗器械生产、研发和分销原则上不属于战略行业，外国投资者通常可以设立或收购企业；但如果项目涉及军工、核材料、航天、密码设备、特定病原体、联邦级地下资源或战略性基础设施，则可能落入战略投资范围。</w:t>
      </w:r>
    </w:p>
    <w:p w14:paraId="6E504A92">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战略交易通常由俄罗斯联邦反垄断局作为牵头主管机关受理，并根据交易性质报送联邦政府外国投资监管委员会等机构审议。私人外国投资者取得战略企业25%以上控制权、国有企业取得5%以上权益等情形，通常需事前批准。医疗器械企业不能仅因产品具有较高技术含量便认定必然触发安审，但涉及军民两用、国家秘密信息或敏感生物技术的，应逐项核查。</w:t>
      </w:r>
    </w:p>
    <w:p w14:paraId="48585C93">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俄罗斯政府采购政策鼓励使用国产及欧亚经济联盟产品，部分医疗器械类别设有本国产品采购比例。采购中具体适用优先、限制或排除规则，取决于采购项目、产品目录和本地化条件。本地生产、技术合作和供应链本地化有助于企业参与公立采购，但并非所有项目均要求设立合资企业。</w:t>
      </w:r>
    </w:p>
    <w:p w14:paraId="00E452CA">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反垄断与经营者集中审查</w:t>
      </w:r>
    </w:p>
    <w:p w14:paraId="6D526539">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俄罗斯经营者集中由联邦反垄断局负责审查。交易通常须在实施前申报，但只有交易各方在俄罗斯境内资产合计超过70亿卢布且目标企业资产超过2.5亿卢布，或者各方上一年度在俄罗斯境内销售额合计超过100亿卢布且目标企业销售额超过2.5亿卢布时，才触发申报。达到门槛后，联邦反垄断局通常应在三十日内作出第一阶段决定；需要深入审查的，最长一般不超过三个月。</w:t>
      </w:r>
    </w:p>
    <w:p w14:paraId="5248CBA0">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审查主要判断交易是否产生或加强市场支配地位、是否限制竞争。医疗器械企业的横向并购、经销网络收购及独家渠道整合均可能引发审查，但高端影像、植入器械或外资占比较高并不当然意味着交易违法。公共采购中的串通投标、市场划分和滥用市场支配地位属于反垄断执法重点。</w:t>
      </w:r>
    </w:p>
    <w:p w14:paraId="4DB89477">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劳工合规</w:t>
      </w:r>
    </w:p>
    <w:p w14:paraId="6AEAE11D">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俄罗斯劳动关系以《劳动法典》为基础，外国公民原则上须取得工作签证和工作许可后方可工作。工作许可通常与雇主及岗位绑定，更换雇主或岗位可能需重新办理。常规工作许可通常按年办理，高级专家工作许可的期限和条件有所不同。</w:t>
      </w:r>
    </w:p>
    <w:p w14:paraId="4FCAF751">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外籍员工比例限制通常按照经济活动和行业代码每年发布。药品专卖零售等行业可能被禁止雇用外籍员工，但医疗器械制造并不当然属于零比例行业，企业应根据当年政府令和实际经营活动代码确认。持有长期居留身份或高级专家签证的人员，可能不计入外籍员工比例。</w:t>
      </w:r>
    </w:p>
    <w:p w14:paraId="3D246848">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俄罗斯持续上调最低工资标准，企业还须依法缴纳养老金、医疗保险、社会保险等费用。工会拥有集体谈判和参与劳动制度协商的权利，解雇员工须具备法定理由并履行通知、征求意见及补偿程序。</w:t>
      </w:r>
    </w:p>
    <w:p w14:paraId="38C15DD6">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环境保护合规</w:t>
      </w:r>
    </w:p>
    <w:p w14:paraId="02CF2FB1">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俄罗斯环境保护以《环境保护法》为核心，建设项目须根据规模和风险开展国家生态评估或环境影响评价，并办理排污、废弃物、水资源、建设及运营相关许可。环境许可并非一张统一许可证，废气、废水、废弃物和噪声等事项可能分别适用许可或报告制度。</w:t>
      </w:r>
    </w:p>
    <w:p w14:paraId="616557B7">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医疗器械制造如果涉及涂装、化学品、清洗剂、消毒过程或危险废物，应重点评估环境影响评价、排污许可、危险废物分类、运输和处置要求。普通办公、销售和售后服务活动通常不等于生产项目，不能机械套用同一环保程序。</w:t>
      </w:r>
    </w:p>
    <w:p w14:paraId="6D399FC0">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现行《限制温室气体排放法》规定，自2025年起，年度温室气体排放当量达到5万吨的企业须履行碳报告义务。医疗器械企业通常只有在排放达到门槛或参与萨哈林州试点等特定制度时，才承担相应义务。俄罗斯目前实行的是强制碳报告及自愿气候项目机制，并非普遍征收碳税。</w:t>
      </w:r>
    </w:p>
    <w:p w14:paraId="56B26DC1">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知识产权与商业秘密保护</w:t>
      </w:r>
    </w:p>
    <w:p w14:paraId="6E17C996">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俄罗斯知识产权主要规定于《民法典》第四部分，专利分为发明、实用新型和工业设计，保护期限通常分别为二十年、十年和十五年。俄罗斯是《巴黎公约》《专利合作条约》和马德里体系的成员国，并可通过欧亚专利组织申请欧亚专利。</w:t>
      </w:r>
    </w:p>
    <w:p w14:paraId="16295943">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专利侵权诉讼中可以申请临时禁令、证据保全和损害赔偿。医疗器械企业进入俄罗斯市场前，应开展自由实施分析，避免侵犯有效专利。商业秘密受合同、劳动、民事及刑事规则保护，企业可通过保密协议、权限控制、数据分级和离职管理保护临床资料、工艺技术及商业信息。</w:t>
      </w:r>
    </w:p>
    <w:p w14:paraId="4B521224">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数据安全与隐私合规</w:t>
      </w:r>
    </w:p>
    <w:p w14:paraId="2BD87012">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俄罗斯《个人数据法》要求处理个人数据具有合法基础，健康、生物识别、种族、政治观点和刑事记录等属于特殊类别个人数据，通常须取得数据主体明确同意或具备其他法定依据，并履行安全保障、访问控制和泄露通知义务。</w:t>
      </w:r>
    </w:p>
    <w:p w14:paraId="268ECEC3">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俄罗斯实行数据本地化制度：收集俄罗斯公民个人数据后，应在俄罗斯境内数据库完成收集、整理、存储、核对和提取等基础处理；在履行本地化要求的前提下，符合跨境传输条件的，仍可向境外提供数据。远程医疗、可穿戴设备和联网医疗器械应优先采用俄罗斯境内存储及处理架构，并逐项评估跨境传输依据。</w:t>
      </w:r>
    </w:p>
    <w:p w14:paraId="4F9EE6F4">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反商业贿赂合规</w:t>
      </w:r>
    </w:p>
    <w:p w14:paraId="588F92CD">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俄罗斯通过《反腐败法》《刑法典》《反腐败合规标准》及政府采购规则规制商业贿赂和公职人员贿赂。法律禁止向公职人员、国有企业人员及私人主体提供金钱、礼品、回扣、不当招待或其他不正当利益，个人可能面临监禁、罚金和没收财产，企业也可能承担罚款、赔偿、禁止参与采购等后果。</w:t>
      </w:r>
    </w:p>
    <w:p w14:paraId="1E0F0FDC">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公务员财产申报制度主要适用于特定公职人员及其配偶、未成年子女，不能简单称为所有政府成员一律申报。医疗器械采购、经销商返利、学术赞助、海关和注册事项属于高风险环节。礼品和招待并非绝对禁止，但若与合同、许可、付款或职务行为存在利益交换，则可能构成违法。</w:t>
      </w:r>
    </w:p>
    <w:p w14:paraId="42E03002">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争议解决</w:t>
      </w:r>
    </w:p>
    <w:p w14:paraId="753DFDE1">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俄罗斯商事争议可通过商业法院、国际商事仲裁和调解解决。国内商事案件通常由商业法院管辖，仲裁裁决则由普通法院执行。俄罗斯是《纽约公约》缔约国，符合公约条件的外国仲裁裁决可以在俄罗斯申请承认与执行。俄罗斯宪法法院可以审查国际条约及仲裁裁决是否符合俄罗斯宪法。该制度并不意味着俄罗斯可以任意拒绝执行国际裁决，但涉及主权豁免、宪法权利和国家重要利益时，可能产生特殊审查风险。</w:t>
      </w:r>
    </w:p>
    <w:p w14:paraId="6BF2575B">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中俄之间目前有效的旧版双边投资协定继续适用，但新版协定在生效及具体条款上仍需以两国正式完成国内程序后的文本为准。企业应在合同中明确适用法律、仲裁地、仲裁机构和裁决执行地，并结合资产所在地设计争议解决机制。</w:t>
      </w:r>
    </w:p>
    <w:p w14:paraId="414F80DE">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哈萨克斯坦</w:t>
      </w:r>
    </w:p>
    <w:p w14:paraId="589B1F7F">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外商投资审查</w:t>
      </w:r>
    </w:p>
    <w:p w14:paraId="4F3BEEBE">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哈萨克斯坦外商投资管理以《投资法》《企业经营法典》及行业法律为基础。普通医疗器械生产、研发和分销原则上对外资开放，外国投资者通常可以设立全资企业；但银行、保险、通信、媒体、自然资源、航空、核能及涉及国家安全的行业存在准入或持股限制。医疗器械本身并非战略行业，只有涉及放射性物质、特定病原体、核技术或国家关键基础设施时，才可能触发特别审批。</w:t>
      </w:r>
    </w:p>
    <w:p w14:paraId="5C21B104">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哈萨克斯坦正在从固定优先产业清单转向禁止或限制活动清单，并可通过投资协议为大型项目提供稳定税收和优惠政策。经济特区、创新园区及阿斯塔纳国际金融中心的具体优惠，应以项目所在地和投资协议为准。</w:t>
      </w:r>
    </w:p>
    <w:p w14:paraId="1390C58A">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反垄断与经营者集中审查</w:t>
      </w:r>
    </w:p>
    <w:p w14:paraId="48C4277A">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哈萨克斯坦经营者集中由竞争保护和发展署审查。通常达到门槛的并购、股权收购、资产收购和取得控制权的交易须在实施前申报；仅通过合同取得重大影响力或发生人员交叉任职等特定情形，可能适用事后通知。</w:t>
      </w:r>
    </w:p>
    <w:p w14:paraId="33F705DE">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申报通常考察交易各方及相关集团的资产或营业额。达到门槛后，第一阶段审查一般为三十日；需要深入审查的，可以延长。审查重点是交易是否产生、加强市场支配地位或限制竞争。医疗器械企业的横向并购、经销网络收购、独家渠道及公共采购串通均可能引发执法。</w:t>
      </w:r>
    </w:p>
    <w:p w14:paraId="26A8DB1C">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劳工合规</w:t>
      </w:r>
    </w:p>
    <w:p w14:paraId="736D1838">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哈萨克斯坦劳动合同通常自十六岁起可以签订，解除劳动合同时须遵守法定通知、协商和补偿程序。外国员工原则上须取得与雇主、岗位及期限相对应的工作许可，企业还须申请外国劳务配额。</w:t>
      </w:r>
    </w:p>
    <w:p w14:paraId="36EA8342">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本地化要求主要适用于需要引进外国劳务的岗位。高管、部门负责人、专家和熟练工人对应的哈萨克斯坦籍员工比例通常分别不低于百分之七十和百分之九十，但并非所有医疗器械企业统一按照管理层和技术人员两个类别执行。企业社会保险包括养老金、医疗、社会保险等，具体费率和缴费主体应按最新税法及社保规则核算。</w:t>
      </w:r>
    </w:p>
    <w:p w14:paraId="5DBA5CC2">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环境保护合规</w:t>
      </w:r>
    </w:p>
    <w:p w14:paraId="1B45C5A1">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哈萨克斯坦环境保护目前主要依据《生态法典》及大气、水、废物和环境影响评价等专门规则。项目根据潜在环境影响划分为不同等级，分别适用国家生态评估或企业环境影响评价，并非所有医疗器械项目均须办理同一等级的环评。</w:t>
      </w:r>
    </w:p>
    <w:p w14:paraId="518559E3">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生产项目涉及废气、废水、危险废物、化学品或高能耗工艺时，还须取得排污、废物、取水及运营相关许可。医疗废弃物按照危险废物规则分类、标识、储存和交由持证机构处置，但普通医疗器械生产废弃物不当然全部属于医疗废物。大型排放企业逐步适用最佳可行技术政策，医疗器械企业是否纳入相关义务取决于排放规模、行业类别和所在区域。</w:t>
      </w:r>
    </w:p>
    <w:p w14:paraId="03D64A63">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知识产权与商业秘密保护</w:t>
      </w:r>
    </w:p>
    <w:p w14:paraId="48F20889">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哈萨克斯坦知识产权主要由《民法典》知识产权部分以及专利、商标、版权等专门规则调整，并非仅依靠一九九六年的版权法律。发明、实用新型和工业品外观设计保护期限通常分别为二十年、五年和十五年；符合条件时，实用新型和外观设计可依法延长。</w:t>
      </w:r>
    </w:p>
    <w:p w14:paraId="4EF0612D">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哈萨克斯坦是《巴黎公约》《专利合作条约》和马德里体系成员国，也可通过欧亚专利组织申请区域专利。商业秘密由民事、劳动、合同及刑事规则保护，企业可以通过保密协议、权限控制、数据分级和离职管理保护临床资料、工艺及客户信息。医疗器械企业进入市场前宜开展商标检索、专利自由实施分析和注册证核查。</w:t>
      </w:r>
    </w:p>
    <w:p w14:paraId="76CCD170">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数据安全与隐私合规</w:t>
      </w:r>
    </w:p>
    <w:p w14:paraId="0C1DEBB9">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哈萨克斯坦数据治理的法律框架以2013年第94-V号《个人数据及其保护法》 为基础性法律，辅以《信息化法》（2015年第418-V号）中关于电子数据库本地存储的技术性规范，以及《通信法》中关于通信服务信息存储的行业性规定。健康数据另受《人民健康与卫生系统法典》关于“医疗秘密”的特别保护。</w:t>
      </w:r>
    </w:p>
    <w:p w14:paraId="2A8BAA94">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哈萨克斯坦法律将个人数据分为公开数据和限制性数据两类，未采用GDPR式的“特殊类别”分类体系。健康数据、生物识别数据等属于受特别保护的限制性数据，处理此类数据须具备法定基础，并履行更高标准的安全保障义务。患者个人数据的电子信息资源被归类为机密电子信息资源，精神病患者的心理健康信息受特别保护。</w:t>
      </w:r>
    </w:p>
    <w:p w14:paraId="4B1BB107">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反商业贿赂合规</w:t>
      </w:r>
    </w:p>
    <w:p w14:paraId="195211FC">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哈萨克斯坦通过《反腐败法》《刑法典》及相关公务员制度规制公职人员贿赂、商业贿赂、利益输送和第三方腐败。向企业员工行贿并不当然构成所有相同罪名，具体定性取决于受贿人身份、利益性质和交易背景。</w:t>
      </w:r>
    </w:p>
    <w:p w14:paraId="00633B67">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医疗采购、经销商佣金、学术赞助、海关和注册环节属于高风险领域。礼品、招待和赞助并非绝对禁止，但若与合同、许可、付款或公共职务行为存在利益交换，则可能构成违法。企业应建立第三方尽调、礼品招待审批、异常付款监测和举报调查机制，但有效合规不能当然免除已经发生的违法责任。</w:t>
      </w:r>
    </w:p>
    <w:p w14:paraId="79EA9A6F">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争议解决</w:t>
      </w:r>
    </w:p>
    <w:p w14:paraId="32780D14">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哈萨克斯坦仲裁制度不再严格区分国内与国际商事仲裁，当事人可以选择国内仲裁机构、国际仲裁机构或临时仲裁，但须在仲裁协议及机构规则允许的范围内进行。仲裁裁决通常由法院审查后执行，国际仲裁裁决可依据《纽约公约》在符合条件时获得承认与执行。</w:t>
      </w:r>
    </w:p>
    <w:p w14:paraId="625E6C72">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国际条约并非在所有情形下都自动优先于国内法适用，国内法院会结合条约性质、保留条款及国内法规则处理冲突。中国与哈萨克斯坦之间的双边投资协定继续为投资者提供保护，但投资争端能否直接提交国际仲裁，取决于协定条款、用尽当地救济要求及双方书面同意。</w:t>
      </w:r>
    </w:p>
    <w:p w14:paraId="4BCA1862">
      <w:pPr>
        <w:pStyle w:val="26"/>
        <w:numPr>
          <w:ilvl w:val="1"/>
          <w:numId w:val="6"/>
        </w:numPr>
        <w:spacing w:before="120" w:beforeLines="50" w:after="120" w:afterLines="50" w:line="360" w:lineRule="auto"/>
        <w:jc w:val="center"/>
        <w:outlineLvl w:val="2"/>
        <w:rPr>
          <w:rFonts w:ascii="Times New Roman" w:hAnsi="Times New Roman"/>
          <w:b/>
          <w:bCs/>
          <w:sz w:val="28"/>
          <w:szCs w:val="28"/>
          <w:lang w:val="en-GB"/>
        </w:rPr>
      </w:pPr>
      <w:r>
        <w:rPr>
          <w:rFonts w:hint="eastAsia" w:ascii="Times New Roman" w:hAnsi="Times New Roman"/>
          <w:b/>
          <w:bCs/>
          <w:sz w:val="28"/>
          <w:szCs w:val="28"/>
          <w:lang w:val="en-GB"/>
        </w:rPr>
        <w:t xml:space="preserve"> </w:t>
      </w:r>
      <w:bookmarkStart w:id="47" w:name="_Toc290602432"/>
      <w:r>
        <w:rPr>
          <w:rFonts w:hint="eastAsia" w:ascii="Times New Roman" w:hAnsi="Times New Roman"/>
          <w:b/>
          <w:bCs/>
          <w:sz w:val="28"/>
          <w:szCs w:val="28"/>
          <w:lang w:val="en-GB"/>
        </w:rPr>
        <w:t>东亚地区</w:t>
      </w:r>
      <w:bookmarkEnd w:id="47"/>
    </w:p>
    <w:p w14:paraId="23165081">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韩国</w:t>
      </w:r>
    </w:p>
    <w:p w14:paraId="34BE64AE">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（一）外商投资审查制度</w:t>
      </w:r>
    </w:p>
    <w:p w14:paraId="07293F41">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1. 法律依据与主管架构</w:t>
      </w:r>
    </w:p>
    <w:p w14:paraId="546C647F">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韩国外商投资安全审查制度以《外国人投资促进法》及其施行令为上位法基础，同时衔接《产业技术防止泄露及保护法》《国家尖端战略产业竞争力保护特别措施法》《防卫事业法》等专项立法。产业通商资源部作为外资主管部门统筹审查工作，审查环节协同国家情报院、防卫事业厅、产业技术保护机构开展多部门联合研判，具体申报与事务性工作由大韩贸易投资振兴公社（KOTRA）投资服务窗口承接。</w:t>
      </w:r>
    </w:p>
    <w:p w14:paraId="5D584BB4">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2. 审查适用范围</w:t>
      </w:r>
    </w:p>
    <w:p w14:paraId="1F5D23FD">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韩国对外国投资者通过股权收购取得境内企业经营支配权的交易实施强制事前审查，触发情形包括六类：（1）涉及国防工业物资生产，可能影响国防供应链安全的项目；（2）涉及受限出口物项与技术，存在转作军事用途较高风险的项目；（3）可能泄露国家机密信息的项目；（4）可能导致国家核心产业技术外流的项目；（5）涉及国家尖端战略产业技术，存在技术泄露风险的项目；（6）可能损害国际和平与安全相关国际义务的项目。</w:t>
      </w:r>
    </w:p>
    <w:p w14:paraId="533A7474">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3. 审查核心标准</w:t>
      </w:r>
    </w:p>
    <w:p w14:paraId="0492744A">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审查以“国家安全与公共利益”为核心标尺，重点评估三方面内容：（1）国防安全维度：核查标的资产、技术与国防工业的关联程度，以及技术非民用转用风险；（2）技术主权维度：判断标的是否属于国家核心技术、尖端战略技术范畴，评估交易对本国产业技术竞争力的影响；（3）交易合规维度：核查投资者背景、资金来源、交易结构是否符合韩国外资管理与出口管制规则。</w:t>
      </w:r>
    </w:p>
    <w:p w14:paraId="0183EED0">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4. 程序要求与法律后果</w:t>
      </w:r>
    </w:p>
    <w:p w14:paraId="3D6D5051">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安全审查为法定前置程序，拟实施并购的外国投资者需在交易落地前向产业通商资源部提交申请，完整披露交易结构、持股比例、技术标的、最终受益人等信息。审查部门可视情况要求调整交易方案、附加限制性条件，或作出禁止交易的决定。未经审查擅自完成交易的，将面临合同效力瑕疵及行政处罚。</w:t>
      </w:r>
    </w:p>
    <w:p w14:paraId="25AF1A75">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（二）反垄断与经营者集中审查</w:t>
      </w:r>
    </w:p>
    <w:p w14:paraId="4996B014">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1. 监管体系与法律依据</w:t>
      </w:r>
    </w:p>
    <w:p w14:paraId="34EDC43C">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韩国反垄断执法由韩国公平贸易委员会统筹负责，核心规制依据为《垄断规制与公平贸易法》及配套实施规则，监管覆盖经营者集中、垄断协议、滥用市场支配地位三大核心领域，是企业在韩投资经营需重点遵守的合规制度。</w:t>
      </w:r>
    </w:p>
    <w:p w14:paraId="208E0AE4">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2. 经营者集中申报与审查</w:t>
      </w:r>
    </w:p>
    <w:p w14:paraId="04447F2F">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2.1 监管覆盖的集中情形</w:t>
      </w:r>
    </w:p>
    <w:p w14:paraId="52CFE3F2">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经营者合并、取得其他经营者20%以上有表决权股份（韩国上市公司为15%以上）、收购核心业务或资产、设立合营企业、董事交叉任职等行为，均纳入经营者集中监管范畴。</w:t>
      </w:r>
    </w:p>
    <w:p w14:paraId="0C68ABC2">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2.2 申报触发门槛</w:t>
      </w:r>
    </w:p>
    <w:p w14:paraId="2691FA15">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韩国采用双轨制申报标准，满足任一条件即需依法履行申报程序：（1）规模标准：参与集中一方上一财年全球资产总额或全球营收额达到或超过3000亿韩元（董事交叉任职情形下该方需达到或超过20000亿韩元），且另一方全球资产或营收达到或超过300亿韩元；韩国境外交易还需满足参与各方上一财年在韩境内营业额均达到或超过300亿韩元；（2）交易金额标准：交易金额达到或超过6000 亿韩元，且目标主体在韩国境内开展实质性经营活动。</w:t>
      </w:r>
    </w:p>
    <w:p w14:paraId="4933D1D8">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2.3 审查基本规则</w:t>
      </w:r>
    </w:p>
    <w:p w14:paraId="6406199E">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韩国公平贸易委员会从市场份额、市场集中度、市场进入壁垒等维度，评估交易对相关市场竞争的实质性影响。法定审查初始期限为30日，可根据案件复杂度最长延长90日，申报方补充提交材料的期间不计入审查时限。审查结论分为无条件批准、附条件批准、禁止集中三类。</w:t>
      </w:r>
    </w:p>
    <w:p w14:paraId="5911AD8B">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3. 垄断行为合规红线</w:t>
      </w:r>
    </w:p>
    <w:p w14:paraId="163BA3F6">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3.1 垄断协议禁止</w:t>
      </w:r>
    </w:p>
    <w:p w14:paraId="090DCE84">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具有竞争关系的经营者不得达成排除、限制竞争的合意，涵盖固定或变动价格、限定交易条款、限制产销量、分割交易市场、限制生产设施投入、限定产品标准等行为类型。</w:t>
      </w:r>
    </w:p>
    <w:p w14:paraId="71B84FA1">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3.2 滥用市场支配地位禁止</w:t>
      </w:r>
    </w:p>
    <w:p w14:paraId="46D3BDBD">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市场支配地位以市场份额为核心推定依据：单个经营者市场份额超50%、排名前三的经营者合计份额超75%（份额不足10%的主体不计入），可推定具有支配地位；年营业额低于40亿韩元的经营者，不认定为具有市场支配地位。禁止不公平定价、强制交易、排挤竞争对手、设置市场进入障碍等滥用行为。</w:t>
      </w:r>
    </w:p>
    <w:p w14:paraId="4422C504">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4. 法律责任与权利救济</w:t>
      </w:r>
    </w:p>
    <w:p w14:paraId="04ECFDA1">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违法实施集中、达成垄断协议、滥用支配地位均面临高额行政罚款，相关责任人还可能承担刑事责任。其中违法实施集中最高处1亿韩元罚款；违反集中审批决定的企业按日处交易金额0.03%以下罚款（单日上限2000万韩元，总额上限1.5亿韩元），个人最高处1.5亿韩元罚款及2年监禁。</w:t>
      </w:r>
    </w:p>
    <w:p w14:paraId="12CAAE6E">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 xml:space="preserve">垄断协议与滥用支配地位企业最高分别处相关营业额20%、6%的行政罚款（可并处最高2亿韩元的刑事罚款），个人最高处3年监禁及2亿韩元罚款。 </w:t>
      </w:r>
    </w:p>
    <w:p w14:paraId="04927A7F">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对执法决定不服的，企业可在30日内申请复议，或直接向首尔高等法院提起诉讼；对复议决定不服的，仍可在30日内起诉。</w:t>
      </w:r>
    </w:p>
    <w:p w14:paraId="02720706">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（三）劳工合规</w:t>
      </w:r>
    </w:p>
    <w:p w14:paraId="6B841D16">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1. 法定劳动基准规范</w:t>
      </w:r>
    </w:p>
    <w:p w14:paraId="465CBFC4">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韩国以《劳动基准法》等法律法规为核心，建立了强制性劳动用工规则体系。工时制度方面，实行每周最长52小时的法定上限，超出标准工时的加班需依法计发加班薪酬，同时保障劳动者法定休息休假权利。解雇保护方面，雇主不得单方任意解除劳动关系，解雇须具备法定正当事由并履行法定程序，违法解雇将面临恢复劳动关系、支付赔偿金等法律后果。薪酬需按约定按期足额发放，不得无故克扣或拖欠。</w:t>
      </w:r>
    </w:p>
    <w:p w14:paraId="6F35ACD3">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2. 强制社会保险义务</w:t>
      </w:r>
    </w:p>
    <w:p w14:paraId="793406B2">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韩国设置四类法定社会保险，企业负有强制参保与代扣代缴的法定责任，具体包括国民年金、健康保险、雇佣保险及工伤保险。其中，工伤保险保费全部由雇主承担，其余三类保险由雇主与劳动者按法定比例共同缴纳。企业需在员工入职后及时办理参保登记，如实申报缴费基数，不得通过隐瞒用工、低报薪酬等方式规避参保义务。</w:t>
      </w:r>
    </w:p>
    <w:p w14:paraId="5BF1D82B">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3. 集体劳动关系管理</w:t>
      </w:r>
    </w:p>
    <w:p w14:paraId="67FECD0C">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韩国工会组织体系完善、议价能力较强，全国设有两大全国性工会联合会，多数行业及规模以上企业建有基层工会。工会每年固定开展薪资调整、福利提升等集体协商，若诉求未达成一致，可依法采取罢工等集体行动。企业实施并购重组、人员裁减、用工制度调整等重大事项时，需依法履行与工会的协商程序，充分听取工会意见。</w:t>
      </w:r>
    </w:p>
    <w:p w14:paraId="350D46FC">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4. 外籍用工合规要求</w:t>
      </w:r>
    </w:p>
    <w:p w14:paraId="59691487">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韩国通过雇佣许可制对外籍劳务实施准入管理，外籍员工须持合法工作类签证在许可范围内履职，严禁非法务工。企业聘用外籍劳务需符合对应行业的配额要求，外籍人员需满足年龄、无犯罪记录、韩国语能力达标、体检合格等法定条件，并按规定办理居留许可与工作备案。企业不得安排外籍人员从事许可岗位以外的工作，也不得超期限用工。</w:t>
      </w:r>
    </w:p>
    <w:p w14:paraId="2F4556DC">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（四）环境保护合规</w:t>
      </w:r>
    </w:p>
    <w:p w14:paraId="12220B45">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1. 监管体系与法律框架</w:t>
      </w:r>
    </w:p>
    <w:p w14:paraId="3F170546">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韩国环境部为全国环境事务统一主管部门，统筹大气、水体、土壤、废弃物、化学品、气候变化等全领域监管执法。韩国环境法律体系以《环境政策基本法》为总纲，配套《大气环境保全法》《水环境保全法》《废弃物管理法》《有害化学物质管理法》《环境影响评价法》等专项立法，形成覆盖源头预防、过程管控、末端治理的全链条规制。2022 年实施的《应对气候危机的碳中和与绿色增长基本法》，进一步以立法形式固化中长期气候治理目标与减排义务。</w:t>
      </w:r>
    </w:p>
    <w:p w14:paraId="71321289">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2. 环境影响评价准入制度</w:t>
      </w:r>
    </w:p>
    <w:p w14:paraId="28FE163F">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韩国对法定规模以上的开发建设项目实施强制环境影响评价。环评需依次履行方案报审、公众意见征集、多部门联合技术审查、行政许可批复等法定程序，项目建设全过程需接受监管部门动态核查。项目竣工后，需按行业类别开展3至5年的事后环境跟踪监测；对周边环境造成重大影响的，监管部门可要求启动二次评估。未依法完成环评程序擅自开工建设的，将面临项目叫停与行政处罚。</w:t>
      </w:r>
    </w:p>
    <w:p w14:paraId="36A827C2">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3. 污染防治核心合规义务</w:t>
      </w:r>
    </w:p>
    <w:p w14:paraId="6C0A1225">
      <w:pPr>
        <w:spacing w:before="120" w:beforeLines="50" w:after="120" w:afterLines="50" w:line="360" w:lineRule="auto"/>
        <w:ind w:firstLine="560" w:firstLineChars="200"/>
        <w:jc w:val="both"/>
        <w:rPr>
          <w:rFonts w:ascii="Times New Roman" w:hAnsi="Times New Roman"/>
          <w:b/>
          <w:bCs/>
          <w:sz w:val="28"/>
          <w:szCs w:val="28"/>
          <w:lang w:val="en-US"/>
        </w:rPr>
      </w:pPr>
      <w:r>
        <w:rPr>
          <w:rFonts w:hint="eastAsia" w:ascii="Times New Roman" w:hAnsi="Times New Roman"/>
          <w:sz w:val="28"/>
          <w:szCs w:val="28"/>
          <w:lang w:val="en-US"/>
        </w:rPr>
        <w:t>大气污染防治方面，执行行业分级排放标准，重点管控工业废气、挥发性有机物、扬尘等污染源，重点排污单位需安装在线监测设备并联网报送数据。水污染防治方面，严格区分地表水与地下水保护标准，工业废水需达标排放，严禁私设排污口、稀释排放等违法行为。固体废物管理实行分类处置制度，危险废物需由具备对应资质的主体开展贮存、转运与无害化处置。有害化学物质实行全生命周期管控，生产、进口、使用相关物质均需履行登记、许可与风险报备程序。</w:t>
      </w:r>
    </w:p>
    <w:p w14:paraId="5966F905">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4. 碳排放与绿色转型要求</w:t>
      </w:r>
    </w:p>
    <w:p w14:paraId="5E6C1E17">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韩国是东亚首个启动全国性碳排放权交易市场（KETS）的国家，实行配额分配、清缴与市场化交易制度。纳入管控的企业需按年度核算温室气体排放量，足额清缴排放配额。同时韩国以立法明确2030年国家自主贡献减排目标与2050碳中和愿景，高耗能、高排放行业需逐步落实阶段性减排要求。</w:t>
      </w:r>
    </w:p>
    <w:p w14:paraId="74CB3A0F">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（五）知识产权与商业秘密保护</w:t>
      </w:r>
    </w:p>
    <w:p w14:paraId="337F4C42">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1. 监管体系与法律框架</w:t>
      </w:r>
    </w:p>
    <w:p w14:paraId="359D4EBA">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韩国知识产权实行分领域归口监管。工业产权范畴的专利、商标、实用新型、外观设计、半导体布图设计由韩国专利厅统一管理，著作权由文化体育观光部负责。法律体系以《专利法》《商标法》《实用新案法》《外观设计保护法》《半导体集成电路布图设计法》为权利基础，配套《防止不正当竞争及保护营业秘密法》《互联网地址资源法》等规制竞争类侵权，同时衔接外资法规中关于核心技术外流的管控要求，形成全链条保护规则。</w:t>
      </w:r>
    </w:p>
    <w:p w14:paraId="6EE20BBC">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2. 权利取得与存续合规</w:t>
      </w:r>
    </w:p>
    <w:p w14:paraId="70E92727">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专利权采用申请审查制，需提交权利要求书、说明书、技术图纸等法定材料，经形式审查、申请公开、实质审查程序后方可授权，权利存续期间需按规定足额缴纳年费。商标注册遵循对等原则，外国主体依据所属国与韩国的双边协定确认注册资格，国内申请可选择现场、邮寄或线上渠道提交，跨境布局可通过马德里商标国际注册体系指定韩国获得保护。</w:t>
      </w:r>
    </w:p>
    <w:p w14:paraId="3B8FE6C0">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3. 商业秘密专项保护规则</w:t>
      </w:r>
    </w:p>
    <w:p w14:paraId="1A9416AA">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韩国对商业秘密实施刑民双重严格保护，将具备秘密性、经济性且权利人采取保密措施的技术信息、经营信息均纳入保护范围。普通商业秘密侵权行为最高可处5年有期徒刑，或按侵权获利的2至10倍处以罚金；若侵权行为涉及向境外泄露商业秘密，法定刑期上限提升至7年，惩戒力度显著加强。此外，针对国家核心技术、尖端战略产业技术，韩国设有专门技术保护立法。</w:t>
      </w:r>
    </w:p>
    <w:p w14:paraId="3E36331A">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4. 侵权责任与维权路径</w:t>
      </w:r>
    </w:p>
    <w:p w14:paraId="405340E4">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侵犯专利权、商标权的，最高可处7年以下有期徒刑或1亿韩元以下罚金；侵犯著作财产权最高处5年有期徒刑或5000万韩元罚金，侵害著作人格权最高处3年有期徒刑或3000万韩元罚金。</w:t>
      </w:r>
    </w:p>
    <w:p w14:paraId="54ED3980">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企业遭遇权利侵害时，可优先通过协商和解、商事调解化解争议；无法达成一致的，可向韩国商事仲裁机构申请仲裁或向法院提起诉讼；涉及跨境技术流失的，可向专利厅、产业通商资源部等主管部门举报，也可借助中韩双边知识产权合作机制维权。</w:t>
      </w:r>
    </w:p>
    <w:p w14:paraId="2BC3D910">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（六）数据安全与隐私合规</w:t>
      </w:r>
    </w:p>
    <w:p w14:paraId="136B146E">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1. 监管架构与法律体系</w:t>
      </w:r>
    </w:p>
    <w:p w14:paraId="0DFB7CBB">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韩国实行统一监管与分领域规制相结合的数据治理模式。个人信息保护委员会为个人信息保护领域最高主管机构，统筹规则制定、执法监督与争议调处；科技信息通信部负责信息通信网络运行、网络安全防护的行业监管。法律层面以《个人信息保护法》为基础性总纲，《信息通信网络使用促进与信息保护法》针对互联网服务场景设置专项规制，《关于信用信息的使用及保护的法律》等单行法对特定行业数据作出细化要求，形成多层级合规规范体系。</w:t>
      </w:r>
    </w:p>
    <w:p w14:paraId="03ECD154">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2. 个人信息处理核心义务</w:t>
      </w:r>
    </w:p>
    <w:p w14:paraId="2F272A41">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个人信息处理活动应当遵循合法、正当、必要原则，不得超出告知目的擅自扩大处理范围。除法定豁免情形外，处理个人信息原则上需取得信息主体明示同意；敏感个人信息处理需履行单独告知与单独同意程序。信息处理者应当保障信息主体的知情权、访问权、更正权、删除权等法定权利，建立信息质量管控、安全防护、处理活动留痕等内部管理制度，如实留存个人信息处理记录以备监管核查。</w:t>
      </w:r>
    </w:p>
    <w:p w14:paraId="0C8CD5EF">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3. 跨境数据流动规制</w:t>
      </w:r>
    </w:p>
    <w:p w14:paraId="11F7EEE5">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韩国对个人信息跨境传输实施严格准入管理。向境外提供个人信息需满足法定要件，包括取得信息主体单独同意、为履行跨境合同所必需、依据国际条约或互惠安排等。信息处理者应当评估境外接收方的数据保护能力，通过签署标准合同、取得合规认证等方式落实跨境传输安全责任。涉及国家核心技术、重要产业数据的跨境流动，还需同步遵守产业技术保护与出口管制相关规定。</w:t>
      </w:r>
    </w:p>
    <w:p w14:paraId="6F947C17">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4. 网络与数据安全保障</w:t>
      </w:r>
    </w:p>
    <w:p w14:paraId="2E696156">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网络运营者应当配备安全防护技术手段与管理机制，防范数据泄露、篡改、毁损等安全风险。关键信息基础设施运营者承担更高等级保护义务，需定期开展安全检测与风险评估，强化网络弹性保障。发生数据安全事件或个人信息泄露时，运营者应当立即启动应急处置，采取补救措施，并按规定时限向监管部门报告，同步告知受影响的信息主体。</w:t>
      </w:r>
    </w:p>
    <w:p w14:paraId="1BC7F823">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（七）反商业贿赂合规</w:t>
      </w:r>
    </w:p>
    <w:p w14:paraId="61870CA9">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1. 规制体系与适用范围</w:t>
      </w:r>
    </w:p>
    <w:p w14:paraId="14FDA735">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韩国反商业贿赂法律体系以《刑法》为基础框架，配套《特定经济犯罪加重处罚法》《国际交易中外国公务员贿赂防止法》等专门立法，同时衔接公平交易、政府采购、外商投资等领域的关联规则，全面覆盖境内商事往来与跨境经贸合作全场景。规制对象包含行贿与受贿双方，既约束公职人员职务廉洁性，也规制民间市场主体之间的不正当利益输送行为。</w:t>
      </w:r>
    </w:p>
    <w:p w14:paraId="620460BD">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2. 违法行为的法律责任</w:t>
      </w:r>
    </w:p>
    <w:p w14:paraId="5D000D3F">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2.1 民间商业贿赂</w:t>
      </w:r>
    </w:p>
    <w:p w14:paraId="66091AE0">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民间主体收受商业贿赂的，按贪污、渎职类违法行为论处，可处5年以下有期徒刑或1000万韩元以下罚金；向民间主体行贿的，可处2年以下有期徒刑或500万韩元以下罚金。两类行为均没收违法所得及不正当收益，并可剥夺行为人最长10年的相关行业从业资格。</w:t>
      </w:r>
    </w:p>
    <w:p w14:paraId="06590049">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2.2 对本国公职人员行贿</w:t>
      </w:r>
    </w:p>
    <w:p w14:paraId="1F6C9C21">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向公务员、仲裁员等行使公共职能的人员许诺、提供或输送不正当利益的，最高可处5年有期徒刑或2000万韩元罚金；通过第三方主体间接实施行贿的，同等追究法律责任。</w:t>
      </w:r>
    </w:p>
    <w:p w14:paraId="24AE6CE4">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2.3 对外国公职人员行贿</w:t>
      </w:r>
    </w:p>
    <w:p w14:paraId="52942491">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在国际贸易与投资活动中，为谋取不当商业利益向外国公职人员行贿的，适用专门惩戒规则，最高可处5年有期徒刑或5000万韩元罚金；若违法所得超过1000万韩元，可按违法所得的2至5倍判处罚金。</w:t>
      </w:r>
    </w:p>
    <w:p w14:paraId="184BC24B">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（八）争议解决</w:t>
      </w:r>
    </w:p>
    <w:p w14:paraId="2D697523">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1. 争议解决体系概述</w:t>
      </w:r>
    </w:p>
    <w:p w14:paraId="41BF9AE7">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韩国商事与投资领域实行多元纠纷化解机制，当事人可根据争议性质、标的规模及跨境属性，自主选择协商、调解、仲裁、诉讼等救济路径。争议解决的准据法可由当事人依法约定，国内商事纠纷原则上适用韩国《民法典》《商法》等国内立法；跨境投资争议可适用中韩双边投资协定及相关国际商事规则。</w:t>
      </w:r>
    </w:p>
    <w:p w14:paraId="6EA66BED">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2. 非诉讼争议解决途径</w:t>
      </w:r>
    </w:p>
    <w:p w14:paraId="01876567">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2.1 自主协商和解</w:t>
      </w:r>
    </w:p>
    <w:p w14:paraId="4249CF19">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纠纷发生后，当事人可优先开展友好磋商，就权利义务安排达成一致的，应当签署书面和解协议。依法成立的和解协议具备合同效力，对双方均具有法律约束力。</w:t>
      </w:r>
    </w:p>
    <w:p w14:paraId="249AD225">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2.2 商事调解</w:t>
      </w:r>
    </w:p>
    <w:p w14:paraId="627C8F22">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当事人可委托中立专业机构居中调解，境内主流调解机构包括韩国国际调解中心（KIMC）、中日韩商事调解中心（CJKMC）等；针对外资企业经营纠纷，大韩贸易投资振兴公社（KOTRA）设有外国投资者纠纷协调岗位，可提供对接协调服务。调解程序灵活度高、时间成本低，更有利于维持后续商业合作关系。</w:t>
      </w:r>
    </w:p>
    <w:p w14:paraId="5F8C064F">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2.3 商事仲裁</w:t>
      </w:r>
    </w:p>
    <w:p w14:paraId="19DAE150">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韩国商事仲裁委员会（KCAB）是境内核心常设商事仲裁机构，仲裁裁决一经作出即具有终局效力。韩国为《承认及执行外国仲裁裁决公约》（即纽约公约）成员国，跨境争议当事人选择域外仲裁机构的，符合公约要件的裁决可直接在韩国境内申请强制执行。</w:t>
      </w:r>
    </w:p>
    <w:p w14:paraId="7D028104">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3. 司法诉讼程序</w:t>
      </w:r>
    </w:p>
    <w:p w14:paraId="641C772E">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韩国法院实行三审终审制，普通商事纠纷由被告住所地或合同履行地属地法院管辖。若争议针对韩国行政机关的具体行政行为，须先向对应主管部门提起行政复议，对复议结果仍有异议的，方可依法提起行政诉讼。外国法院作出的生效判决，需满足韩国《民事诉讼法》规定的互惠原则、管辖权要件及公共秩序保留要求，才能获得韩国法院的承认与执行。</w:t>
      </w:r>
    </w:p>
    <w:p w14:paraId="3314FBF3">
      <w:pPr>
        <w:spacing w:before="120" w:beforeLines="50" w:after="120" w:afterLines="50" w:line="360" w:lineRule="auto"/>
        <w:ind w:firstLine="562" w:firstLineChars="200"/>
        <w:jc w:val="both"/>
        <w:rPr>
          <w:rFonts w:ascii="Times New Roman" w:hAnsi="Times New Roman"/>
          <w:b/>
          <w:bCs/>
          <w:sz w:val="28"/>
          <w:szCs w:val="28"/>
          <w:lang w:val="en-US"/>
        </w:rPr>
      </w:pPr>
      <w:r>
        <w:rPr>
          <w:rFonts w:hint="eastAsia" w:ascii="Times New Roman" w:hAnsi="Times New Roman"/>
          <w:b/>
          <w:bCs/>
          <w:sz w:val="28"/>
          <w:szCs w:val="28"/>
          <w:lang w:val="en-US"/>
        </w:rPr>
        <w:t>4. 跨境投资争议特殊规则</w:t>
      </w:r>
    </w:p>
    <w:p w14:paraId="653746A4">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针对跨国投资争端，中韩《关于促进和保护投资的协定》提供了国际法层面的救济路径，符合法定条件的投资者可将争端提交国际投资争端解决中心（ICSID），或依照联合国国际贸易法委员会（UNCITRAL）仲裁规则启动审理。需特别注意，投资者与韩国政府产生的行政类争议，应当先行穷尽韩国国内行政救济程序；未完成前置程序直接提起国际仲裁的，可能因管辖异议被驳回申请。</w:t>
      </w:r>
    </w:p>
    <w:p w14:paraId="2A1B23BB">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日本</w:t>
      </w:r>
    </w:p>
    <w:p w14:paraId="14AAC21D">
      <w:pPr>
        <w:numPr>
          <w:ilvl w:val="0"/>
          <w:numId w:val="5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外商投资审查制度</w:t>
      </w:r>
    </w:p>
    <w:p w14:paraId="75E57ED1">
      <w:pPr>
        <w:numPr>
          <w:ilvl w:val="0"/>
          <w:numId w:val="52"/>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制度框架与主管机关</w:t>
      </w:r>
    </w:p>
    <w:p w14:paraId="003F162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外商投资审查以《外汇及外国贸易法》为核心上位法，配套《关于对内直接投资等的政令》《关于对内直接投资等的命令》等行政法规，构建起层级清晰的监管体系。财务省为外商投资审查主管部门，经济产业省协同负责产业政策衔接与招商引资工作，涉及特定行业的审查由对应行业主管部门共同参与核查。</w:t>
      </w:r>
    </w:p>
    <w:p w14:paraId="0F42BF1A">
      <w:pPr>
        <w:numPr>
          <w:ilvl w:val="0"/>
          <w:numId w:val="52"/>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分级审查触发规则</w:t>
      </w:r>
    </w:p>
    <w:p w14:paraId="0EA9FA8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日本遵循 “内外资一致”原则实施分类监管。非限制领域的外商投资仅需履行事后备案程序；纳入监管的核心行业，外国投资者取得上市公司1%以上股权，或取得非上市公司股权的，原则上应当接受事前审查。若持股比例不足10%，且投资者作出不参与经营决策、不接触核心技术信息的书面承诺，可适用事后报告简化程序。2025年5月日本修订外资审查相关内阁令，收窄审查豁免适用范围。</w:t>
      </w:r>
    </w:p>
    <w:p w14:paraId="29FBCF3C">
      <w:pPr>
        <w:numPr>
          <w:ilvl w:val="0"/>
          <w:numId w:val="52"/>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审查核心维度</w:t>
      </w:r>
    </w:p>
    <w:p w14:paraId="3C49E873">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审查以维护国家安全为核心目标，重点评估投资是否损害国防安全、是否导致敏感核心技术外流、是否扰乱公共秩序与公众安全、是否对日本经济稳定运行造成不利影响。此外，外国投资者及其关联方出任核心行业企业董事、或提议转让核心业务的，同样需要履行事前审批程序。</w:t>
      </w:r>
    </w:p>
    <w:p w14:paraId="7A6763E8">
      <w:pPr>
        <w:numPr>
          <w:ilvl w:val="0"/>
          <w:numId w:val="5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反垄断与经营者集中审查</w:t>
      </w:r>
    </w:p>
    <w:p w14:paraId="6B70BD3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日本建立了以《禁止私人垄断和维护公平交易法》为核心、配套规则为补充的反垄断法律体系，由日本公平交易委员会统一负责反垄断执法工作，是我国企业赴日投资经营、实施并购重组需重点遵守的合规领域。</w:t>
      </w:r>
    </w:p>
    <w:p w14:paraId="5F1772E4">
      <w:pPr>
        <w:numPr>
          <w:ilvl w:val="0"/>
          <w:numId w:val="53"/>
        </w:numPr>
        <w:spacing w:before="120" w:beforeLines="50" w:after="120" w:afterLines="50" w:line="360" w:lineRule="auto"/>
        <w:ind w:left="0" w:firstLine="562" w:firstLineChars="200"/>
        <w:jc w:val="both"/>
        <w:rPr>
          <w:rFonts w:ascii="Times New Roman" w:hAnsi="Times New Roman"/>
          <w:sz w:val="28"/>
          <w:szCs w:val="28"/>
          <w:lang w:val="en-US"/>
        </w:rPr>
      </w:pPr>
      <w:r>
        <w:rPr>
          <w:rFonts w:ascii="Times New Roman" w:hAnsi="Times New Roman"/>
          <w:b/>
          <w:bCs/>
          <w:sz w:val="28"/>
          <w:szCs w:val="28"/>
          <w:lang w:val="en-US"/>
        </w:rPr>
        <w:t>经营者集中申报与审查规则</w:t>
      </w:r>
    </w:p>
    <w:p w14:paraId="219F908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经营者合并、通过股权收购取得控制权（持股比例最终超20%或50%）、受让业务或固定资产三类交易，均属于经营者集中规制范畴，达到法定营业额门槛的，应当提前向日本公平交易委员会申报。</w:t>
      </w:r>
    </w:p>
    <w:p w14:paraId="0178AD57">
      <w:pPr>
        <w:spacing w:before="120" w:beforeLines="50" w:after="120" w:afterLines="50" w:line="360" w:lineRule="auto"/>
        <w:ind w:firstLine="562" w:firstLineChars="200"/>
        <w:jc w:val="both"/>
        <w:rPr>
          <w:rFonts w:ascii="Times New Roman" w:hAnsi="Times New Roman"/>
          <w:b/>
          <w:bCs/>
          <w:sz w:val="28"/>
          <w:szCs w:val="28"/>
          <w:lang w:val="en-US"/>
        </w:rPr>
      </w:pPr>
      <w:r>
        <w:rPr>
          <w:rFonts w:ascii="Times New Roman" w:hAnsi="Times New Roman"/>
          <w:b/>
          <w:bCs/>
          <w:sz w:val="28"/>
          <w:szCs w:val="28"/>
          <w:lang w:val="en-US"/>
        </w:rPr>
        <w:t>1.1 经营者合并</w:t>
      </w:r>
    </w:p>
    <w:p w14:paraId="0D9EA6B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交易双方所属集团在日本境内的营业额分别超过200亿日元、50亿日元的，应当履行申报程序。</w:t>
      </w:r>
    </w:p>
    <w:p w14:paraId="1A6E9898">
      <w:pPr>
        <w:numPr>
          <w:ilvl w:val="1"/>
          <w:numId w:val="53"/>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股权收购</w:t>
      </w:r>
    </w:p>
    <w:p w14:paraId="1FE0C39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收购方集团在日营业额超过200亿日元，目标公司集团（含子公司）在日营业额合计超过50亿日元，且交易完成后收购方持股比例达到20%或50%以上的，需依法申报。</w:t>
      </w:r>
    </w:p>
    <w:p w14:paraId="0CBC5B2D">
      <w:pPr>
        <w:numPr>
          <w:ilvl w:val="1"/>
          <w:numId w:val="53"/>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业务与资产收购</w:t>
      </w:r>
    </w:p>
    <w:p w14:paraId="31028AF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收购方集团在日营业额超过 200亿日元，标的业务或资产在日营业额超过30亿日元，且交易涉及受让标的全部或核心经营部分的，应当进行申报。</w:t>
      </w:r>
    </w:p>
    <w:p w14:paraId="499A6ECD">
      <w:pPr>
        <w:numPr>
          <w:ilvl w:val="1"/>
          <w:numId w:val="53"/>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审查程序</w:t>
      </w:r>
    </w:p>
    <w:p w14:paraId="449985B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公平交易委员会将结合相关市场规模与集中度、交易双方市场地位、市场进入壁垒、集中产生的效率效应等因素，综合判断交易是否实质性限制市场竞争。审查分为两个阶段：初始审查期限为正式受理之日起30日；若启动进一步审查程序，需在收到交易方补充材料后的90日内，或正式受理申报之日起120日内作出最终决定。审查结果包括无条件批准、附条件批准、禁止集中三种类型。</w:t>
      </w:r>
    </w:p>
    <w:p w14:paraId="50AC0B3C">
      <w:pPr>
        <w:numPr>
          <w:ilvl w:val="0"/>
          <w:numId w:val="53"/>
        </w:numPr>
        <w:spacing w:before="120" w:beforeLines="50" w:after="120" w:afterLines="50" w:line="360" w:lineRule="auto"/>
        <w:ind w:left="0" w:firstLine="562" w:firstLineChars="200"/>
        <w:jc w:val="both"/>
        <w:rPr>
          <w:rFonts w:ascii="Times New Roman" w:hAnsi="Times New Roman"/>
          <w:sz w:val="28"/>
          <w:szCs w:val="28"/>
          <w:lang w:val="en-US"/>
        </w:rPr>
      </w:pPr>
      <w:r>
        <w:rPr>
          <w:rFonts w:ascii="Times New Roman" w:hAnsi="Times New Roman"/>
          <w:b/>
          <w:bCs/>
          <w:sz w:val="28"/>
          <w:szCs w:val="28"/>
          <w:lang w:val="en-US"/>
        </w:rPr>
        <w:t>核心垄断行为禁止要求</w:t>
      </w:r>
    </w:p>
    <w:p w14:paraId="7337CE6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企业在日开展经营活动，需严格规避三类垄断违法行为：（1）不合理交易限制：包括固定价格、限制产量、划分市场、串通投标等横向协同行为，以及行业协会组织会员企业实施的协同限制行为；（2）私人垄断行为：分为排挤型垄断（低于成本销售、排他性交易、搭售、差别待遇等）与支配型垄断（滥用市场支配地位，通过限定交易、掠夺性定价等方式排除、限制市场竞争）两类；（3）不公平交易行为：涵盖维持转售价格、滥用交易优势地位、附加不合理交易条件、诋毁竞争对手等多种不当经营行为。</w:t>
      </w:r>
    </w:p>
    <w:p w14:paraId="3EF5CB1D">
      <w:pPr>
        <w:numPr>
          <w:ilvl w:val="0"/>
          <w:numId w:val="53"/>
        </w:numPr>
        <w:spacing w:before="120" w:beforeLines="50" w:after="120" w:afterLines="50" w:line="360" w:lineRule="auto"/>
        <w:ind w:left="0" w:firstLine="562" w:firstLineChars="200"/>
        <w:jc w:val="both"/>
        <w:rPr>
          <w:rFonts w:ascii="Times New Roman" w:hAnsi="Times New Roman"/>
          <w:sz w:val="28"/>
          <w:szCs w:val="28"/>
          <w:lang w:val="en-US"/>
        </w:rPr>
      </w:pPr>
      <w:r>
        <w:rPr>
          <w:rFonts w:ascii="Times New Roman" w:hAnsi="Times New Roman"/>
          <w:b/>
          <w:bCs/>
          <w:sz w:val="28"/>
          <w:szCs w:val="28"/>
          <w:lang w:val="en-US"/>
        </w:rPr>
        <w:t>法律责任与权利救济途径</w:t>
      </w:r>
    </w:p>
    <w:p w14:paraId="767DE9E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未依法申报、未经批准实施集中或申报时提供虚假信息的，最高可处200万日元罚款；对具有排除限制竞争效果的集中，日本公平交易委员会可责令采取恢复竞争的措施，部分集中可被宣布无效。构成私人垄断、不合理交易限制的，企业最高可处5亿日元刑事罚金，相关责任人员最高处5年监禁及500万日元罚金；行政责任层面，可处违法期间相关产品营业额最高10%的罚款（中小企业为4%），并没收全部违法所得。</w:t>
      </w:r>
      <w:r>
        <w:rPr>
          <w:rFonts w:ascii="Times New Roman" w:hAnsi="Times New Roman"/>
          <w:sz w:val="28"/>
          <w:szCs w:val="28"/>
          <w:lang w:val="en-US"/>
        </w:rPr>
        <w:br w:type="textWrapping"/>
      </w:r>
      <w:r>
        <w:rPr>
          <w:rFonts w:ascii="Times New Roman" w:hAnsi="Times New Roman"/>
          <w:sz w:val="28"/>
          <w:szCs w:val="28"/>
          <w:lang w:val="en-US"/>
        </w:rPr>
        <w:t xml:space="preserve">    当事人对日本公平交易委员会的决定不服的，可在收到决定之日起6个月内向东京地方法院提起行政诉讼；对一审裁判不服的，可上诉至东京高等法院，最终可上诉至日本最高法院。</w:t>
      </w:r>
    </w:p>
    <w:p w14:paraId="57824E7A">
      <w:pPr>
        <w:numPr>
          <w:ilvl w:val="0"/>
          <w:numId w:val="5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劳工合规</w:t>
      </w:r>
    </w:p>
    <w:p w14:paraId="3D09945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日本劳动监管体系以《劳动基准法》为核心，配套《出入国管理及难民认定法》《技能实习法》《最低工资法》等专项法规，对用工全流程设置了明确强制标准。</w:t>
      </w:r>
    </w:p>
    <w:p w14:paraId="338C5DF1">
      <w:pPr>
        <w:numPr>
          <w:ilvl w:val="0"/>
          <w:numId w:val="54"/>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劳动合同法定要件</w:t>
      </w:r>
    </w:p>
    <w:p w14:paraId="2AFCB0F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劳动合同须以书面形式载明合同期限、工作地点与岗位、工时与休假安排、劳动报酬标准及支付规则、解雇事由等法定必备条款，违反法律强制性规定的约定无效。企业不得通过格式条款不合理限缩劳动者法定权利，固定期限劳动合同的续签频次与总期限需符合法定限制。</w:t>
      </w:r>
    </w:p>
    <w:p w14:paraId="3B1D68A4">
      <w:pPr>
        <w:numPr>
          <w:ilvl w:val="0"/>
          <w:numId w:val="54"/>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薪酬与工时基准</w:t>
      </w:r>
    </w:p>
    <w:p w14:paraId="724439E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执行地区差异化最低工资制度，同一岗位同时适用多档标准时按就高原则执行。日本薪酬结构通常包含基本工资、各类津贴及夏冬两季奖金，非基本工资占比相对较高。企业安排加班须履行法定程序并支付加班报酬，月度加班时长不得超出法定上限。</w:t>
      </w:r>
    </w:p>
    <w:p w14:paraId="3E6E93C9">
      <w:pPr>
        <w:numPr>
          <w:ilvl w:val="0"/>
          <w:numId w:val="54"/>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强制社会保险义务</w:t>
      </w:r>
    </w:p>
    <w:p w14:paraId="33284E7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实行全民参保制度，雇主须为符合条件的雇员办理五类法定社会保险：劳动者灾害补偿保险、雇佣保险、健康护理保险、厚生年金保险、儿童抚养金。其中劳动者灾害补偿保险全额由雇主承担，其余险种由企业与员工按法定比例共同缴纳。</w:t>
      </w:r>
    </w:p>
    <w:p w14:paraId="2C576A99">
      <w:pPr>
        <w:numPr>
          <w:ilvl w:val="0"/>
          <w:numId w:val="54"/>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外籍劳动者从业规制</w:t>
      </w:r>
    </w:p>
    <w:p w14:paraId="30A145F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外籍人员在日就业须取得对应类别的在留资格，常见从业类在留身份包括投资经营、企业内转勤、技能实习、特定技能等。“特定技能1号”覆盖制造业、农业等16个劳动力紧缺领域，最长居留期限为5年；技能实习生须在核定的行业与岗位范围内从业，不得擅自跨行业流动。企业不得聘用无合法在留身份的人员，不得超出签证许可范围安排工作内容。</w:t>
      </w:r>
    </w:p>
    <w:p w14:paraId="36064BDB">
      <w:pPr>
        <w:numPr>
          <w:ilvl w:val="0"/>
          <w:numId w:val="54"/>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劳动合同解除限制</w:t>
      </w:r>
    </w:p>
    <w:p w14:paraId="2A98E7B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企业单方解除劳动合同，原则上应提前30日书面通知劳动者，或支付不低于30日工资的代通知金。实施经济性裁员须同时满足解雇具备必要性、企业已尽避免解雇努力、人员遴选程序公正等法定要件。劳动者处于工伤医疗期、女职工处于孕期及产后法定期间内的，企业不得单方解除劳动合同。</w:t>
      </w:r>
    </w:p>
    <w:p w14:paraId="46FDA162">
      <w:pPr>
        <w:numPr>
          <w:ilvl w:val="0"/>
          <w:numId w:val="5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环境保护合规</w:t>
      </w:r>
    </w:p>
    <w:p w14:paraId="0B2500E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已构建层级清晰、覆盖全面的环境监管法律体系，以《环境基本法》为顶层总则，《全球气候变暖对策推进法》《促进资源有效利用法》《固体废弃物管理和公共清洁法》等综合性立法为核心支撑，配套大气、水、土壤、废弃物处理、循环经济、气候变化等细分领域专项法规与技术标准，对企业在日生产经营的环境行为实施全维度约束。</w:t>
      </w:r>
    </w:p>
    <w:p w14:paraId="25A0384B">
      <w:pPr>
        <w:numPr>
          <w:ilvl w:val="0"/>
          <w:numId w:val="55"/>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污染防治主体责任</w:t>
      </w:r>
    </w:p>
    <w:p w14:paraId="0E9C6CB1">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企业因违法排污造成环境污染或公害健康损害的，除面临行政罚款、刑事追责外，还须依据日本公害健康损害补偿相关法律承担民事赔偿责任。</w:t>
      </w:r>
    </w:p>
    <w:p w14:paraId="220274CE">
      <w:pPr>
        <w:numPr>
          <w:ilvl w:val="0"/>
          <w:numId w:val="55"/>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循环经济强制义务</w:t>
      </w:r>
    </w:p>
    <w:p w14:paraId="5347C6A5">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日本以《循环型社会形成推进基本法》确立减量化、再利用、资源化的3R基本原则，针对重点领域出台专项回收立法，落实生产者延伸责任制度。</w:t>
      </w:r>
    </w:p>
    <w:p w14:paraId="039C908C">
      <w:pPr>
        <w:numPr>
          <w:ilvl w:val="0"/>
          <w:numId w:val="55"/>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建设项目环评管理</w:t>
      </w:r>
    </w:p>
    <w:p w14:paraId="2861EDD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法定范围内的新建、改扩建项目须执行环境影响评价制度。投资规模达到一级标准的项目，须委托第三方专业机构编制环评文件，经主管部门审查、社会公示及公众听证程序后方可取得施工许可。项目建设与运营阶段须接受持续环境监管，出现重大环境破坏情形的，主管部门有权中止项目、收回施工许可。</w:t>
      </w:r>
    </w:p>
    <w:p w14:paraId="4FEE975D">
      <w:pPr>
        <w:numPr>
          <w:ilvl w:val="0"/>
          <w:numId w:val="55"/>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气候与碳合规要求</w:t>
      </w:r>
    </w:p>
    <w:p w14:paraId="0F31BC7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通过《GX推进法》系列立法确立2050年碳中和目标，逐步建立“碳费+排放交易”复合型碳定价机制，目前已启动自愿性GX联盟排放交易，计划2028年推行全国性强制排放交易体系。重点排放行业企业须遵守碳排放管控要求，依规履行碳申报、碳税缴纳等法定义务。</w:t>
      </w:r>
    </w:p>
    <w:p w14:paraId="021776AD">
      <w:pPr>
        <w:numPr>
          <w:ilvl w:val="0"/>
          <w:numId w:val="5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知识产权与商业秘密保护</w:t>
      </w:r>
    </w:p>
    <w:p w14:paraId="593077BA">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实施“知识产权立国”战略，已形成以《知识产权基本法》为顶层统领，《专利法》《商标法》《著作权法》《反不正当竞争法》等专项立法为核心，配套《经济安全保障推进法》特殊规制的完整监管体系，同时适用《全面与进步跨太平洋伙伴关系协定》（CPTPP）知识产权相关规则，对各类市场主体给予平等保护。</w:t>
      </w:r>
    </w:p>
    <w:p w14:paraId="336E1335">
      <w:pPr>
        <w:numPr>
          <w:ilvl w:val="0"/>
          <w:numId w:val="5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知识产权法定保护标准</w:t>
      </w:r>
    </w:p>
    <w:p w14:paraId="20E3B3A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发明专利权期限自申请日起计算20年，因药品审批等客观原因缩短实施期限的，可申请最长5年的延长保护；实用新型权保护期为10年；注册商标有效期10年，期满可按规定多次续展；外观设计权有效保护期20年。著作权保护期限为作者终生加死亡后50年。CPTPP框架下，日本额外增设了药品数据保护期、专利期限延长义务、商标侵权惩罚性赔偿等更高标准的保护规则。</w:t>
      </w:r>
    </w:p>
    <w:p w14:paraId="5A7071AC">
      <w:pPr>
        <w:numPr>
          <w:ilvl w:val="0"/>
          <w:numId w:val="5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商业秘密保护规则</w:t>
      </w:r>
    </w:p>
    <w:p w14:paraId="26C5C96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反不正当竞争法》将商业秘密纳入法定保护范围，禁止以盗窃、胁迫、欺诈等不正当手段获取、使用或披露他人商业秘密，也禁止违反保密义务擅自披露商业秘密。企业商业秘密受到侵害的，可依法请求停止侵权行为、主张损害赔偿及商誉恢复；严重侵权行为将触发刑事追责。</w:t>
      </w:r>
    </w:p>
    <w:p w14:paraId="0CCD0A55">
      <w:pPr>
        <w:numPr>
          <w:ilvl w:val="0"/>
          <w:numId w:val="5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经济安全维度的特殊规制</w:t>
      </w:r>
    </w:p>
    <w:p w14:paraId="3112070B">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根据《经济安全保障推进法》，日本对可应用于军事领域的尖端技术实施专利保密管理，主管部门有权认定相关技术专利不予公开，并限制其在境外提交专利申请；违反规定泄露敏感技术信息的，最高可处2年以下有期徒刑。外国投资者收购持有核心知识产权的重点行业企业，须接受外资安全审查。</w:t>
      </w:r>
    </w:p>
    <w:p w14:paraId="1BA4F243">
      <w:pPr>
        <w:numPr>
          <w:ilvl w:val="0"/>
          <w:numId w:val="56"/>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侵权法律责任</w:t>
      </w:r>
    </w:p>
    <w:p w14:paraId="21EEAFD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侵犯专利权、商标权、外观设计权、著作权的，自然人最高可处10年以下有期徒刑或1000万日元以下罚金；法人主体侵权的，最高罚金为3亿日元。侵犯实用新型权的，自然人处5年以下有期徒刑或500万日元以内罚金，法人罚金上限相同。</w:t>
      </w:r>
    </w:p>
    <w:p w14:paraId="5CDC60C2">
      <w:pPr>
        <w:numPr>
          <w:ilvl w:val="0"/>
          <w:numId w:val="5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数据安全与隐私合规</w:t>
      </w:r>
    </w:p>
    <w:p w14:paraId="0D78DF4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已构建以个人信息保护为核心、网络安全防护为基础、关键基础设施数据安全为重点、数字平台治理为补充的多层级合规体系，核心规制依据包括《个人信息保护法》《网络安全基本法》《官民数据活用推进基本法》及《经济安全保障推进法》相关条款，对在日经营主体的数据全生命周期处理行为实施分层约束。</w:t>
      </w:r>
    </w:p>
    <w:p w14:paraId="711A5060">
      <w:pPr>
        <w:numPr>
          <w:ilvl w:val="0"/>
          <w:numId w:val="5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个人信息处理基本规则</w:t>
      </w:r>
    </w:p>
    <w:p w14:paraId="198A6BD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企业处理个人信息须具备明确、正当的使用目的，除法定豁免情形外，应取得信息主体的有效同意；敏感个人信息的收集、使用与跨境传输适用更严格的限制条件。信息主体依法享有查阅、更正、删除个人信息及要求停止不当处理等法定权利，企业须建立对应受理与响应机制。发生个人信息泄露、毁损等安全事件时，企业须立即采取补救措施，并按法定要求履行监管通报与权利主体告知义务。</w:t>
      </w:r>
    </w:p>
    <w:p w14:paraId="6E56C4A1">
      <w:pPr>
        <w:numPr>
          <w:ilvl w:val="0"/>
          <w:numId w:val="5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网络安全分级防护义务</w:t>
      </w:r>
    </w:p>
    <w:p w14:paraId="11C24BE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网络安全基本法》确立分级防护制度，一般经营主体须落实基础网络安全保障措施，维护信息系统安全稳定运行。关键基础设施运营者须承担强化级安全责任，在采购核心IT设备、委托信息系统运维前须完成安全评估；主管部门认定存在安全风险的，有权要求企业调整采购方案或终止相关服务。</w:t>
      </w:r>
    </w:p>
    <w:p w14:paraId="65E78B40">
      <w:pPr>
        <w:numPr>
          <w:ilvl w:val="0"/>
          <w:numId w:val="5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跨境数据与外资审查要求</w:t>
      </w:r>
    </w:p>
    <w:p w14:paraId="7ED61360">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对跨境数据流动实施分类监管，合规商业数据原则上可自由流动，但涉及国家安全、公共利益的敏感数据受严格管控。外国投资者投资数据敏感核心行业，取得上市公司1%以上股权的，须接受外资安全审查，重点核查数据安全风险与核心技术外流隐患。</w:t>
      </w:r>
    </w:p>
    <w:p w14:paraId="75B2571D">
      <w:pPr>
        <w:numPr>
          <w:ilvl w:val="0"/>
          <w:numId w:val="57"/>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数字平台专项规制</w:t>
      </w:r>
    </w:p>
    <w:p w14:paraId="55C4DC82">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依据《数字平台交易透明化法》，大型数字平台经营者须公开数据收集范围、使用规则与共享边界，保障用户知情权；不得滥用数据优势地位实施不公平交易行为。平台处理用户数据须遵循最小必要原则，不得超出约定目的范围扩展数据使用场景。</w:t>
      </w:r>
    </w:p>
    <w:p w14:paraId="7C4C537F">
      <w:pPr>
        <w:numPr>
          <w:ilvl w:val="0"/>
          <w:numId w:val="5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反商业贿赂合规</w:t>
      </w:r>
    </w:p>
    <w:p w14:paraId="172C1B0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已构建刑事追责、商事规制、政治资金管控三位一体的反贿赂治理体系，核心法律依据包括《刑法典》《不正当竞争防止法》《政治资金规正法》。作为《经合组织反贿赂公约》缔约国，日本同步建立了涉外贿赂执法规则，对在日经营主体的各类利益输送行为实施全维度约束。</w:t>
      </w:r>
    </w:p>
    <w:p w14:paraId="1215F154">
      <w:pPr>
        <w:numPr>
          <w:ilvl w:val="0"/>
          <w:numId w:val="58"/>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公职人员贿赂的刑事规制</w:t>
      </w:r>
    </w:p>
    <w:p w14:paraId="6ED7DACF">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刑法典》针对境内公职人员贿赂犯罪设定基础罚则。公职人员利用职务权限收受、索取或约定收受贿赂的，处5年以下监禁；若贿赂与职务上的作为或不作为形成对价，最高可判处7年监禁。向公职人员行贿、提出行贿邀约或作出利益承诺的，自然人最高处3年监禁或250万日元罚金，该条款仅适用于自然人主体。</w:t>
      </w:r>
    </w:p>
    <w:p w14:paraId="69F23959">
      <w:pPr>
        <w:numPr>
          <w:ilvl w:val="0"/>
          <w:numId w:val="58"/>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商业贿赂与涉外贿赂专门规制</w:t>
      </w:r>
    </w:p>
    <w:p w14:paraId="0C8EF8C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不正当竞争防止法》是日本反商业贿赂的核心立法，同时承载《经合组织反贿赂公约》的国内实施功能，禁止经营者为谋取不正当交易优势，向交易相对方从业人员、外国公职人员等主体提供非法利益。2023年该法修订后大幅提升处罚强度，自然人违法最高处10年监禁或3000万日元罚金，为日本白领犯罪最高刑期与罚金标准；法人违法最高处10亿日元罚金；同时追诉时效由5年延长至7年，强化涉外贿赂案件的执法覆盖。</w:t>
      </w:r>
    </w:p>
    <w:p w14:paraId="63EBB8C5">
      <w:pPr>
        <w:numPr>
          <w:ilvl w:val="0"/>
          <w:numId w:val="58"/>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政治献金禁止性规定</w:t>
      </w:r>
    </w:p>
    <w:p w14:paraId="651C57C6">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依据《政治资金规正法》，外国自然人、外国政府及代表、外国法人或其他团体，不得向日本政党、政治团体提供任何形式的政治献金，也不得通过日本本地主体代为实施捐赠。企业不得以政治捐赠名义向公职人员输送利益，触碰法律红线。</w:t>
      </w:r>
    </w:p>
    <w:p w14:paraId="0B602A96">
      <w:pPr>
        <w:numPr>
          <w:ilvl w:val="0"/>
          <w:numId w:val="51"/>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争议解决</w:t>
      </w:r>
    </w:p>
    <w:p w14:paraId="034E864D">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已构建多元分层的争议解决体系，商事纠纷、行政争议与投资争端分别对应不同救济路径，程序规则体系完备，同时衔接国际公约与多边规则，为跨境经营主体提供多渠道权利保障。企业在日经营发生争议的，可根据争议性质、涉及主体与商业目标，选择适配的解决方式。</w:t>
      </w:r>
    </w:p>
    <w:p w14:paraId="7682E839">
      <w:pPr>
        <w:numPr>
          <w:ilvl w:val="0"/>
          <w:numId w:val="5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自行协商与机构调解</w:t>
      </w:r>
    </w:p>
    <w:p w14:paraId="1713D204">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商事争议发生后，当事人优先通过商业谈判自行协商化解纠纷，具备成本低、周期短、保密性强的特点，是商事实践中最普遍的纠纷化解方式。</w:t>
      </w:r>
    </w:p>
    <w:p w14:paraId="6E6C9ED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自行协商不成的，可选择调解途径：（1）法院调解：由管辖法院依据民事诉讼法相关程序组织，调解协议经司法确认后具备强制执行力；（2）民间专业机构调解：可委托日本商事仲裁协会、日本律师联合会纷争解决中心等机构居中调处，程序灵活，利于保留商业合作关系。</w:t>
      </w:r>
    </w:p>
    <w:p w14:paraId="5817AC6C">
      <w:pPr>
        <w:numPr>
          <w:ilvl w:val="0"/>
          <w:numId w:val="5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商事仲裁</w:t>
      </w:r>
    </w:p>
    <w:p w14:paraId="1F3E9C27">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 xml:space="preserve">当事人可在合同中预先约定仲裁条款，明确仲裁机构、仲裁地与适用规则。仲裁地位于日本境内的，适用日本《仲裁法》，法院对仲裁程序的干预受到严格限制，仅在法定情形下行使司法审查权，仲裁裁决具备终局性与强制执行力。 </w:t>
      </w:r>
    </w:p>
    <w:p w14:paraId="3FF953BE">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日本为《承认及执行外国仲裁裁决公约》（即纽约公约）缔约国，境外仲裁机构作出的生效裁决，符合公约规定条件的，可向日本法院申请承认与强制执行。</w:t>
      </w:r>
    </w:p>
    <w:p w14:paraId="5B0E761D">
      <w:pPr>
        <w:numPr>
          <w:ilvl w:val="0"/>
          <w:numId w:val="5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民事诉讼</w:t>
      </w:r>
    </w:p>
    <w:p w14:paraId="54D62B6C">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未达成仲裁约定或仲裁协议无效的争议，当事人可向有管辖权的法院提起民事诉讼。外国当事人在日本涉诉的，一般由被告住所地或代表地法院管辖，合同当事人也可依法约定专属管辖法院。日本司法实行四级三审制，诉讼程序规范严谨，当事人可委托持日本执业资格的律师代理案件。</w:t>
      </w:r>
    </w:p>
    <w:p w14:paraId="374CB5DC">
      <w:pPr>
        <w:numPr>
          <w:ilvl w:val="0"/>
          <w:numId w:val="5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行政争议救济</w:t>
      </w:r>
    </w:p>
    <w:p w14:paraId="14E99AC8">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企业与日本行政机关产生行政争议的，可通过行政复议与行政诉讼两类途径主张权利。当事人可先向作出行政行为的机关或其上级主管机关申请行政复议，对复议结果不服的，再向法院提起行政诉讼；部分事项也可直接提起行政诉讼，具体程序依对应领域法律规定确定。</w:t>
      </w:r>
    </w:p>
    <w:p w14:paraId="60E3A6AC">
      <w:pPr>
        <w:numPr>
          <w:ilvl w:val="0"/>
          <w:numId w:val="59"/>
        </w:numPr>
        <w:spacing w:before="120" w:beforeLines="50" w:after="120" w:afterLines="50" w:line="360" w:lineRule="auto"/>
        <w:ind w:left="0" w:firstLine="562" w:firstLineChars="200"/>
        <w:jc w:val="both"/>
        <w:rPr>
          <w:rFonts w:ascii="Times New Roman" w:hAnsi="Times New Roman"/>
          <w:b/>
          <w:bCs/>
          <w:sz w:val="28"/>
          <w:szCs w:val="28"/>
          <w:lang w:val="en-US"/>
        </w:rPr>
      </w:pPr>
      <w:r>
        <w:rPr>
          <w:rFonts w:ascii="Times New Roman" w:hAnsi="Times New Roman"/>
          <w:b/>
          <w:bCs/>
          <w:sz w:val="28"/>
          <w:szCs w:val="28"/>
          <w:lang w:val="en-US"/>
        </w:rPr>
        <w:t>投资争端国际仲裁</w:t>
      </w:r>
    </w:p>
    <w:p w14:paraId="1F084689">
      <w:pPr>
        <w:spacing w:before="120" w:beforeLines="50" w:after="120" w:afterLines="50" w:line="360" w:lineRule="auto"/>
        <w:ind w:firstLine="560" w:firstLineChars="200"/>
        <w:jc w:val="both"/>
        <w:rPr>
          <w:rFonts w:ascii="Times New Roman" w:hAnsi="Times New Roman"/>
          <w:sz w:val="28"/>
          <w:szCs w:val="28"/>
          <w:lang w:val="en-US"/>
        </w:rPr>
      </w:pPr>
      <w:r>
        <w:rPr>
          <w:rFonts w:ascii="Times New Roman" w:hAnsi="Times New Roman"/>
          <w:sz w:val="28"/>
          <w:szCs w:val="28"/>
          <w:lang w:val="en-US"/>
        </w:rPr>
        <w:t>涉及跨国投资的争议，若中日双边投资协定、自贸协定投资章节有相关约定的，企业可依据条约规定提起投资者-国家争端解决程序，选择适用ICSID、UNCITRAL等国际仲裁规则主张投资权益。日本为国际投资争端解决中心缔约国，相关仲裁裁决可依国际规则执行。</w:t>
      </w:r>
    </w:p>
    <w:p w14:paraId="3520EEAF">
      <w:pPr>
        <w:pStyle w:val="26"/>
        <w:numPr>
          <w:ilvl w:val="1"/>
          <w:numId w:val="6"/>
        </w:numPr>
        <w:spacing w:before="120" w:beforeLines="50" w:after="120" w:afterLines="50" w:line="360" w:lineRule="auto"/>
        <w:jc w:val="center"/>
        <w:outlineLvl w:val="2"/>
        <w:rPr>
          <w:rFonts w:ascii="Times New Roman" w:hAnsi="Times New Roman"/>
          <w:b/>
          <w:bCs/>
          <w:sz w:val="28"/>
          <w:szCs w:val="28"/>
          <w:lang w:val="en-GB"/>
        </w:rPr>
      </w:pPr>
      <w:r>
        <w:rPr>
          <w:rFonts w:hint="eastAsia" w:ascii="Times New Roman" w:hAnsi="Times New Roman"/>
          <w:b/>
          <w:bCs/>
          <w:sz w:val="28"/>
          <w:szCs w:val="28"/>
          <w:lang w:val="en-GB"/>
        </w:rPr>
        <w:t xml:space="preserve"> </w:t>
      </w:r>
      <w:bookmarkStart w:id="48" w:name="_Toc374585624"/>
      <w:r>
        <w:rPr>
          <w:rFonts w:hint="eastAsia" w:ascii="Times New Roman" w:hAnsi="Times New Roman"/>
          <w:b/>
          <w:bCs/>
          <w:sz w:val="28"/>
          <w:szCs w:val="28"/>
          <w:lang w:val="en-GB"/>
        </w:rPr>
        <w:t>中东地区</w:t>
      </w:r>
      <w:bookmarkEnd w:id="48"/>
    </w:p>
    <w:p w14:paraId="4B718538">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沙特阿拉伯</w:t>
      </w:r>
    </w:p>
    <w:p w14:paraId="456D0C24">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外商投资审查</w:t>
      </w:r>
    </w:p>
    <w:p w14:paraId="03778E8F">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沙特于2025年2月生效的新《投资法》取代原有的《外商投资法》，将本国与外国投资者纳入统一制度，并取消针对外国投资者的单独投资许可证，改为向投资部办理投资登记。外国投资者仍须在开展投资活动前完成登记；涉及负面清单内事项的，须经外商投资审查委员会审批。现行负面清单主要涵盖石油勘探和生产、为军事部门服务、调查与保安、麦加和麦地那不动产、朝觐导游、招聘、佣金代理及海洋捕捞等活动。医疗器械生产、分销和售后服务原则上不属于禁止类，但医疗、公共卫生和政府采购事项仍受行业监管。上市公司外资比例限制应根据资本市场规则及具体证券类别确认。</w:t>
      </w:r>
    </w:p>
    <w:p w14:paraId="1CA4B062">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反垄断与经营者集中审查</w:t>
      </w:r>
    </w:p>
    <w:p w14:paraId="750F6E6C">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沙特阿拉伯经营者集中审查由竞争总局（General Authority for Competition，GAC）依据《竞争法》及 2025 年 4 月第 5 版《经济集中审查指南》执行。触发强制事前申报的核心营业额阈值共三项，结合交易类型适用组合判定规则：交易各方全球年营业额合计超过 2 亿沙特里亚尔；收购交易中目标方全球年营业额超过 4000 万里亚尔，合并与合资交易中至少两方全球年营业额超过 4000 万里亚尔；各方在沙特境内年营业额合计超过 4000 万里亚尔，且 2025 版新规额外要求收购交易中的目标方需对沙特境内营业额有实际贡献。GAC 审查以交易是否实质创设或强化市场控制地位、是否可能实质减损市场竞争为核心标准，简易程序案件审查效率较高，整体办案周期处于全球较快水平。</w:t>
      </w:r>
    </w:p>
    <w:p w14:paraId="6C0C28BB">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劳工合规</w:t>
      </w:r>
    </w:p>
    <w:p w14:paraId="298385BF">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沙特劳动制度规定正常工作时间为每日八小时或每周四十八小时，斋月期间穆斯林雇员每日工作时间通常缩短两小时。加班工资标准、社会保险缴费比例及最低工资应结合现行法规、行业决定和企业适用制度确认。沙特籍雇员通常参加养老、失业保险和职业伤害保险，外籍雇员主要参加职业伤害保险。企业还须满足本土化比例、工作签证、职业健康及工会协商等要求。</w:t>
      </w:r>
    </w:p>
    <w:p w14:paraId="35AEB4F2">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环境保护合规</w:t>
      </w:r>
    </w:p>
    <w:p w14:paraId="3944911A">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环境保护由环境、水和农业部及相关主管部门负责，国家环境合规监测中心是环境许可与合规监管的独立机构。项目是否需要环境影响评价及环境许可，</w:t>
      </w:r>
      <w:r>
        <w:rPr>
          <w:rFonts w:hint="eastAsia" w:ascii="Times New Roman" w:hAnsi="Times New Roman"/>
          <w:sz w:val="28"/>
          <w:szCs w:val="28"/>
          <w:lang w:val="en-GB"/>
        </w:rPr>
        <w:t>取决于项目地点、规模、行业类别和排放强度。医疗器械组装项目未必都需要同一等级的环评，但涉及涂装、化学品、废水、危险废物或能源密集工艺的生产项目通常面临更严格要求。医疗废弃物按照危险废物管理，应分类收集、包装、标识、储存，并交由具备资质的单位运输和处置。医疗器械生产企业不能把所有生产废弃物都视为医疗废物，也不能由普通生活垃圾企业直接处理危险废物。</w:t>
      </w:r>
    </w:p>
    <w:p w14:paraId="0A608979">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沙特已经建立温室气体排放监测和报告制度。是否征收碳税、企业具体报告门槛及未来碳交易安排，应根据项目所在行业、年度排放量和最新法规确认。医疗器械企业主要应关注危险废物、化学品、废水、空气污染物及擅自扩建或改变工艺等风险。</w:t>
      </w:r>
    </w:p>
    <w:p w14:paraId="3486AD77">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知识产权与商业秘密保护</w:t>
      </w:r>
    </w:p>
    <w:p w14:paraId="5F5E7150">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沙</w:t>
      </w:r>
      <w:r>
        <w:rPr>
          <w:rFonts w:hint="eastAsia" w:ascii="Times New Roman" w:hAnsi="Times New Roman"/>
          <w:sz w:val="28"/>
          <w:szCs w:val="28"/>
          <w:lang w:val="en-GB"/>
        </w:rPr>
        <w:t>特知识产权主要由沙特知识产权局管理，相关权利包括专利、商标、版权、工业设计及商业秘密。发明专利通常自申请日起保护二十年，实用新型和工业品外观设计分别适用较短期限。专利有效性、侵权认定及赔偿金额须结合技术方案、权利要求和司法解释判断。</w:t>
      </w:r>
    </w:p>
    <w:p w14:paraId="452DFA15">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商业秘密可以通过合同、保密制度、访问权限和员工义务进行保护。雇主通常对员工在职期间形成的职务成果享有合同或法定权益，但仍应在劳动合同和保密协议中明确权利归属、竞业限制和离职交接。</w:t>
      </w:r>
    </w:p>
    <w:p w14:paraId="2DB98526">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沙特专利侵权、商标假冒和版权案件可以寻求行政查处、民事诉讼或刑事救济。公开资料中的固定罚款、监禁和快速审查期限容易发生变化，正式文件不宜直接引用未经当期法律核实的具体数字。医疗器械企业进入沙特前，应开展商标检索、专利自由实施分析，并审查产品说明书、软件代码和临床数据的权属。</w:t>
      </w:r>
    </w:p>
    <w:p w14:paraId="4135D141">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数据安全与隐私合规</w:t>
      </w:r>
    </w:p>
    <w:p w14:paraId="696C7E07">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沙特《个人数据保护法》及跨境传输条例适用于在沙特处理个人数据的组织。健康、基因、财务和犯罪记录等属于敏感个人数据，原则上需要更明确的合法性基础、更高等级的安全保障和更严格的跨境传输条件。</w:t>
      </w:r>
    </w:p>
    <w:p w14:paraId="022BCA82">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个人数据原则上不得在境外处理。如果接收方数据保护水平不充分，可以通过标准合同条款、具有约束力的公司规则或其他适当保障措施实施跨境传输；无法采取保障措施时，还可依据法定例外处理，例如取得数据主体明确同意或为保护重大利益所必须。因此，法律并非绝对禁止健康数据出境，但跨境传输通常比境内处理承担更多合规义务。</w:t>
      </w:r>
    </w:p>
    <w:p w14:paraId="48A98B45">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医疗器械、远程医疗和健康管理平台应建立数据地图，明确数据控制者或处理者身份、处理目的、访问权限、数据主体权利响应和泄露通知机制。患者数据优先采用沙特境内存储和处理架构，但是否必须本地化仍须根据具体业务判断。</w:t>
      </w:r>
    </w:p>
    <w:p w14:paraId="2B50BC0C">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反商业贿赂合规</w:t>
      </w:r>
    </w:p>
    <w:p w14:paraId="1BCCDB02">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沙特反腐败制度的核心法律为1992年颁布的《反贿赂法》（皇家法令M/36号），沙特国家反腐败委员会（Nazaha）是反腐败体系的重要机构。该法于2019年3月通过第4号皇家法令扩展至私营部门，私营部门人员为违反职务义务而收受不正当利益的行为亦受到规制。企业经理或员工为本单位利益实施贿赂，并满足法定条件时，企业可能被处以最高相当于贿赂价值十倍的罚款，还可能被禁止与政府部门或公共法人订立采购、项目或工程合同；相关责任人还可能承担监禁、罚金及没收等责任。</w:t>
      </w:r>
    </w:p>
    <w:p w14:paraId="534AD400">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医疗器械公共采购、政府采购、经销商佣金、医院合作、海关申报及许可事项均属于高风险场景。法律不仅禁止直接行贿，也关注通过礼品、招待、咨询费、赞助、捐赠、虚假佣金或第三方支付换取合同、付款、许可及职务便利。正常商业往来并非当然违法，但若利益与公共职务行为或对方违反职责存在对价关系，则可能构成贿赂。企业应建立行为准则、第三方尽调、礼品招待审批、异常付款监测、举报和调查处置机制；有效合规可以降低风险，但不当然免除已经发生的违法责任。</w:t>
      </w:r>
    </w:p>
    <w:p w14:paraId="78B3F450">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争议解决</w:t>
      </w:r>
    </w:p>
    <w:p w14:paraId="7ED269F4">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沙特商事争议解决途径包括协商、调解、仲裁与司法诉讼。友好协商是大多数商事纠纷的首选方式，有利于维护商业合作关系。仲裁方面，沙特商事仲裁中心成立于 2016 年，是沙特第一个官方仲裁中心；2012 年新《仲裁法》参照联合国国际贸易法委员会示范法制定，削弱了法院对仲裁的控制，允许当事人自由选择仲裁语言、地点和适用法律，但仲裁活动须以伊斯兰教法为原则，涉及个人身份的争议不得提交仲裁，涉及政府机构的争议在未获许可时不得仲裁。仲裁裁决原则上不得上诉，仅可依《仲裁法》第 50 条和第 51 条规定的法定情形申请撤销。国际商事仲裁裁决可依据《纽约公约》在沙特得到承认与执行。</w:t>
      </w:r>
    </w:p>
    <w:p w14:paraId="0415245A">
      <w:pPr>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司法诉讼方面，沙特法院体系受伊斯兰教法与世俗法共同影响，商事纠纷审理程序相对复杂，周期较长。投资争端方面，中沙两国签有《促进和相互保护投资协定》，约定了国民待遇、征收补偿、资金自由转移、争端解决等条款，若沙特政府的行政行为损害投资者合法权益，企业可先通过当地行政救济途径维权，也可依据双边投资协定提起国际投资仲裁。此外，中国驻沙特使领馆可为企业提供政策咨询与领事保护，协助应对投资纠纷。</w:t>
      </w:r>
    </w:p>
    <w:p w14:paraId="5D10806C">
      <w:pPr>
        <w:pStyle w:val="26"/>
        <w:numPr>
          <w:ilvl w:val="2"/>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阿联酋</w:t>
      </w:r>
    </w:p>
    <w:p w14:paraId="13144A8A">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外商投资审查</w:t>
      </w:r>
    </w:p>
    <w:p w14:paraId="0C7C3BF8">
      <w:pPr>
        <w:pStyle w:val="26"/>
        <w:spacing w:before="120" w:beforeLines="50" w:after="120" w:afterLines="50" w:line="360" w:lineRule="auto"/>
        <w:ind w:firstLine="560" w:firstLineChars="200"/>
        <w:jc w:val="both"/>
        <w:rPr>
          <w:rFonts w:ascii="Times New Roman" w:hAnsi="Times New Roman"/>
          <w:sz w:val="28"/>
          <w:szCs w:val="28"/>
          <w:lang w:val="en-GB"/>
        </w:rPr>
      </w:pPr>
      <w:r>
        <w:rPr>
          <w:rFonts w:ascii="Times New Roman" w:hAnsi="Times New Roman"/>
          <w:sz w:val="28"/>
          <w:szCs w:val="28"/>
          <w:lang w:val="en-GB"/>
        </w:rPr>
        <w:t>阿联酋在岸公司外资所有权制度以2021年第32号联邦法令《商业公司法》为基础。该法原则上允许外国投资者持有在岸有限责任公司全部股权，不再一概要求阿联酋籍股东持股51%，也不再普遍要求本地服务代理。但2021年第55号内阁决议确定了“具有战略影响的经济活动”清单，共计七类，其中六类须取得行业主管部门批准，行业主管部门有权对外资持股比例和董事会构成施加额外限制。这六类分别为：安全和国防及军事性质活动（由国防部或内政部监管）；银行、兑换、金融和保险活动（由阿联酋中央银行监管）；货币印刷；通信传播；朝觐和副朝相关服务；古兰经诵经机构。第七类为渔业相关服务，完全禁止外国投资。</w:t>
      </w:r>
    </w:p>
    <w:p w14:paraId="66B1A66B">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阿联酋实行联邦与酋长国双层监管。迪拜、阿布扎比等酋长国分别发布允许外资100%持股的商业活动清单，并可能对具体公司附加最低资本、经营场所、本地用工或董事会构成要求。医疗器械贸易和生产通常较为开放，但临床医疗、药房、公共卫生及政府采购项目仍须取得卫生主管部门许可。</w:t>
      </w:r>
    </w:p>
    <w:p w14:paraId="07A135EC">
      <w:pPr>
        <w:pStyle w:val="26"/>
        <w:spacing w:before="120" w:beforeLines="50" w:after="120" w:afterLines="50" w:line="360" w:lineRule="auto"/>
        <w:ind w:firstLine="560" w:firstLineChars="200"/>
        <w:jc w:val="both"/>
        <w:rPr>
          <w:rFonts w:ascii="Times New Roman" w:hAnsi="Times New Roman"/>
          <w:sz w:val="28"/>
          <w:szCs w:val="28"/>
          <w:lang w:val="en-GB"/>
        </w:rPr>
      </w:pPr>
      <w:r>
        <w:rPr>
          <w:rFonts w:hint="eastAsia" w:ascii="Times New Roman" w:hAnsi="Times New Roman"/>
          <w:sz w:val="28"/>
          <w:szCs w:val="28"/>
          <w:lang w:val="en-GB"/>
        </w:rPr>
        <w:t>自贸区企业通常可以100%由外资持有，并享受税收、资本汇回和经营便利，但其经营范围受到自贸区规则限制。传统上，自贸区公司不能当然直接在阿联酋本土开展业务；能否进入本地市场，取决于自贸区规则、经济部许可、分支机构设置或本地持牌经销商安排。</w:t>
      </w:r>
    </w:p>
    <w:p w14:paraId="1515568A">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反垄断与经营者集中审查</w:t>
      </w:r>
    </w:p>
    <w:p w14:paraId="092950EE">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阿联酋竞争制度以2023年第36号联邦法令《竞争监管法》及其实施条例为基础，经营者集中实行事前申报制度。达到申报门槛的交易，须在交易完成前向经济部竞争司申报并获得批准。根据2025年第3号内阁决议，满足以下任一条件即触发申报义务：相关企业在阿联酋相关市场的上一年度年销售额合计超过3亿迪拉姆（约合8170万美元）；或相关企业在阿联酋相关市场的合计市场份额超过40%。审批期限为收到完整申报后90个日历日，复杂案件可延长45日。</w:t>
      </w:r>
    </w:p>
    <w:p w14:paraId="0A164D1D">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主管机关可无条件批准、附条件批准或禁止集中。应申报而未申报，或在获批前完成交易的，可处以上一年度销售额2%至5%的罚款；销售额无法计算的，通常处以50万至500万迪拉姆罚款。</w:t>
      </w:r>
    </w:p>
    <w:p w14:paraId="6EA59D82">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电信、金融、石油天然气及药品等领域可能由行业监管机构实施竞争监管，但是否完全排除联邦竞争法适用，应结合行业法律和主管机关决定判断。医疗器械经销网络收购、独家代理整合及横向并购可能触发申报或调查。</w:t>
      </w:r>
    </w:p>
    <w:p w14:paraId="629878F7">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劳工合规</w:t>
      </w:r>
    </w:p>
    <w:p w14:paraId="4B2E574D">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阿联酋私营部门劳动关系受2021年第33号联邦法令《劳动关系监管法》及其实施条例调整，各酋长国不再单独制定完整劳动法，但自贸区企业可能同时适用当地劳动制度。标准工时为每日8小时或每周48小时。斋月期间，穆斯林员工每日工作时间通常减少2小时。</w:t>
      </w:r>
    </w:p>
    <w:p w14:paraId="0E657593">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阿联酋没有覆盖所有行业的统一法定最低工资，但部分酋长国或自贸区可能对家政、建筑等特定行业设置工资保障。外籍员工通常须由阿联酋雇主担保，取得工作许可和居留签证。解雇须具有法定或合同依据，并履行通知、工资结清和离职证明等程序。</w:t>
      </w:r>
    </w:p>
    <w:p w14:paraId="655C33B5">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环境保护合规</w:t>
      </w:r>
    </w:p>
    <w:p w14:paraId="53DF93E2">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阿联酋环境保护采用联邦法律与各酋长国监管相结合的模式。联邦层面的《环境保护法》以及空气污染、水污染、危险废物和环境影响评估规则，为各酋长国共同框架；阿布扎比环境署、迪拜市政府及其他酋长国机构分别负责项目审批。</w:t>
      </w:r>
    </w:p>
    <w:p w14:paraId="1D38A682">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阿联酋正在推进净零排放、可再生能源和循环经济政策，但各酋长国在塑料制品限制、碳报告和绿色激励方面的规则并不完全相同。医疗器械企业不应把地方性的塑料禁令或碳税政策写成全国统一制度。</w:t>
      </w:r>
    </w:p>
    <w:p w14:paraId="21589774">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知识产权与商业秘密保护</w:t>
      </w:r>
    </w:p>
    <w:p w14:paraId="29127B73">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阿联酋联邦知识产权制度以《工业产权法》《商标法》和《版权法》为核心，专利、商标和版权由经济部及相关机构管理。阿联酋是《保护工业产权巴黎公约》《专利合作条约》《商标国际注册马德里协定》《保护文学和艺术作品伯尔尼公约》和世界知识产权组织相关条约的成员国。</w:t>
      </w:r>
    </w:p>
    <w:p w14:paraId="5EB708E4">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商业秘密受民法、刑法、劳动法和竞争规则共同保护。员工保密义务、竞业限制和离职交接应通过书面协议明确。海关、经济和警方等部门可以查处假冒商品，权利人可寻求行政扣押、民事赔偿及刑事追责。</w:t>
      </w:r>
    </w:p>
    <w:p w14:paraId="2EDD052C">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数据安全与隐私合规</w:t>
      </w:r>
    </w:p>
    <w:p w14:paraId="23D0884C">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阿联酋数据保护制度呈现联邦法与自贸区法并行的双层结构。联邦层面，2021年第45号联邦法令《个人数据保护法》是核心隐私法规，适用于在阿联酋境内或境外处理阿联酋居民个人数据的实体。迪拜国际金融中心（DIFC）和阿布扎比全球市场（AGDM）各自拥有独立的数据保护制度，联邦《个人数据保护法》不适用于已设立专门数据保护立法的自贸区实体。</w:t>
      </w:r>
    </w:p>
    <w:p w14:paraId="1628A972">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健康数据另受2019年第2号联邦法律《健康领域信息通信技术法》管辖。该法第13条明确禁止将阿联酋境内医疗服务相关的健康数据和信息存储或传输至境外，仅在第51/2021号部长决议列举的例外情形下方可为之。该部长决议规定的例外情形包括：为阿联酋境外患者治疗所需的健康数据；经卫生主管部门批准的国际合作项目；以及患者明确同意等特定条件。</w:t>
      </w:r>
    </w:p>
    <w:p w14:paraId="6311AD9C">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联邦《个人数据保护法》将个人健康数据、生物识别数据和金融数据列为敏感数据，处理此类数据须基于合法性基础，并遵循目的限制、数据最小化、准确性、存储期限和安全保障原则。数据主体享有访问、更正、删除及反对处理等权利。个人数据跨境传输原则上须传输至被阿联酋数据办公室认定为具有充分保护水平的国家，或具备适当保障措施，或取得数据主体同意。</w:t>
      </w:r>
    </w:p>
    <w:p w14:paraId="701C2380">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医疗器械企业应按客户所在地、员工所在地、服务器位置和处理者身份分别判断适用哪一层数据保护制度。涉及患者健康数据处理的，应优先适用《健康领域信息通信技术法》的本地存储要求，并评估是否落入第51/2021号部长决议的例外情形。</w:t>
      </w:r>
    </w:p>
    <w:p w14:paraId="028AE063">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ascii="Times New Roman" w:hAnsi="Times New Roman"/>
          <w:b/>
          <w:bCs/>
          <w:sz w:val="28"/>
          <w:szCs w:val="28"/>
          <w:lang w:val="en-GB"/>
        </w:rPr>
        <w:t>反商业贿赂合规</w:t>
      </w:r>
    </w:p>
    <w:p w14:paraId="15F02472">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联邦刑法第234至239条构成反贿赂的核心条款。第234条处罚公职人员或受托从事公共服务人员索取或收受贿赂的行为；第237条处罚行贿行为；第280条将私营部门贿赂纳入处罚范围，任何向私营实体管理人员或员工承诺、提供或给予不正当好处，以使其履行或不履行职务相关行为或违背职责的，可处以不超过5年监禁。第281条处罚影响力交易，第282条处罚介绍贿赂。第283条规定，行贿人或中间人在犯罪被揭露前主动向司法机关或行政机关报告的，可予豁免。</w:t>
      </w:r>
    </w:p>
    <w:p w14:paraId="24CEE53F">
      <w:pPr>
        <w:pStyle w:val="26"/>
        <w:spacing w:before="120" w:beforeLines="50" w:after="120" w:afterLines="50" w:line="360" w:lineRule="auto"/>
        <w:ind w:firstLine="560" w:firstLineChars="200"/>
        <w:jc w:val="both"/>
        <w:rPr>
          <w:rFonts w:ascii="Times New Roman" w:hAnsi="Times New Roman"/>
          <w:sz w:val="28"/>
          <w:szCs w:val="28"/>
        </w:rPr>
      </w:pPr>
      <w:r>
        <w:rPr>
          <w:rFonts w:hint="eastAsia" w:ascii="Times New Roman" w:hAnsi="Times New Roman"/>
          <w:sz w:val="28"/>
          <w:szCs w:val="28"/>
        </w:rPr>
        <w:t>企业应建立第三方尽调、礼品招待审批、异常付款监测、反贿赂培训和调查处置制度。阿联酋是《联合国反腐败公约》成员国，部分违法行为还可能产生跨境调查、采购资格限制和声誉风险。医疗器械采购、经销商佣金、政府关系服务、礼品招待、学术赞助和本地代理安排属于高风险事项。</w:t>
      </w:r>
    </w:p>
    <w:p w14:paraId="303D6CF8">
      <w:pPr>
        <w:pStyle w:val="26"/>
        <w:numPr>
          <w:ilvl w:val="3"/>
          <w:numId w:val="6"/>
        </w:numPr>
        <w:spacing w:before="120" w:beforeLines="50" w:after="120" w:afterLines="50" w:line="360" w:lineRule="auto"/>
        <w:ind w:firstLine="562" w:firstLineChars="200"/>
        <w:jc w:val="both"/>
        <w:rPr>
          <w:rFonts w:ascii="Times New Roman" w:hAnsi="Times New Roman"/>
          <w:b/>
          <w:bCs/>
          <w:sz w:val="28"/>
          <w:szCs w:val="28"/>
          <w:lang w:val="en-GB"/>
        </w:rPr>
      </w:pPr>
      <w:r>
        <w:rPr>
          <w:rFonts w:hint="eastAsia" w:ascii="Times New Roman" w:hAnsi="Times New Roman"/>
          <w:b/>
          <w:bCs/>
          <w:sz w:val="28"/>
          <w:szCs w:val="28"/>
          <w:lang w:val="en-GB"/>
        </w:rPr>
        <w:t>争议解决</w:t>
      </w:r>
    </w:p>
    <w:p w14:paraId="7E01B2A3">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阿联酋主要仲裁机构包括迪拜国际仲裁中心（DIAC）、阿布扎比国际仲裁中心、迪拜国际金融中心—伦敦国际仲裁院仲裁中心（DIFC-LCIA）以及阿布扎比全球市场法院。当事人可以约定适用外国法，但仲裁地、程序法和机构规则会显著影响后续法院干预及裁决执行。</w:t>
      </w:r>
    </w:p>
    <w:p w14:paraId="049C6160">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阿联酋2018年第6号联邦法律《仲裁法》以联合国国际贸易法委员会示范法为基础，适用于仲裁地在阿联酋的仲裁程序，以及当事人选择适用该法的国际商事仲裁案件。该法承认当事人约定仲裁语言、地点和程序规则的权利，同时保留法院对仲裁协议效力、临时措施、裁决撤销及执行的有限介入。涉及公共政策、不可仲裁事项或政府合同的仲裁，仍须确认是否存在法定限制。</w:t>
      </w:r>
    </w:p>
    <w:p w14:paraId="683BF0A7">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裁决撤销与执行。 仲裁裁决可依《仲裁法》第53条申请撤销，理由包括仲裁协议无效、正当程序违规、仲裁庭超越权限、仲裁庭组成不当及裁决违反公共政策等。阿联酋是《纽约公约》缔约国，符合条件的外国仲裁裁决可以申请承认与执行。外国裁决通过民事诉讼法执行框架和《纽约公约》在国际商事仲裁地（如迪拜国际金融中心或阿布扎比全球市场）执行，或通过联邦执行法院执行。执行法院会审查仲裁协议、正当程序、公共政策及可仲裁性。</w:t>
      </w:r>
    </w:p>
    <w:p w14:paraId="705B4162">
      <w:pPr>
        <w:spacing w:before="120" w:beforeLines="50" w:after="120" w:afterLines="50" w:line="360" w:lineRule="auto"/>
        <w:ind w:firstLine="560" w:firstLineChars="200"/>
        <w:jc w:val="both"/>
        <w:rPr>
          <w:rFonts w:ascii="Times New Roman" w:hAnsi="Times New Roman"/>
          <w:sz w:val="28"/>
          <w:szCs w:val="28"/>
          <w:lang w:val="en-US"/>
        </w:rPr>
      </w:pPr>
      <w:r>
        <w:rPr>
          <w:rFonts w:hint="eastAsia" w:ascii="Times New Roman" w:hAnsi="Times New Roman"/>
          <w:sz w:val="28"/>
          <w:szCs w:val="28"/>
          <w:lang w:val="en-US"/>
        </w:rPr>
        <w:t>合同同时选择外国法并约定阿联酋法院管辖时，外国法不会自动成为合同准据法，法院可能要求当事人证明外国法内容。涉及政府实体的争议，还应确认仲裁协议效力、政府事先批准及主权豁免等特别规则。</w:t>
      </w:r>
    </w:p>
    <w:p w14:paraId="5ABCD4D7">
      <w:pPr>
        <w:spacing w:before="120" w:beforeLines="50" w:after="120" w:afterLines="50" w:line="360" w:lineRule="auto"/>
        <w:jc w:val="both"/>
        <w:rPr>
          <w:rFonts w:ascii="Times New Roman" w:hAnsi="Times New Roman"/>
          <w:sz w:val="28"/>
          <w:szCs w:val="28"/>
        </w:rPr>
      </w:pPr>
    </w:p>
    <w:sectPr>
      <w:headerReference r:id="rId4" w:type="default"/>
      <w:footerReference r:id="rId5" w:type="default"/>
      <w:pgSz w:w="11906" w:h="16838"/>
      <w:pgMar w:top="1440" w:right="1440" w:bottom="1440" w:left="1440"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微软雅黑">
    <w:altName w:val="方正黑体_GBK"/>
    <w:panose1 w:val="020B0503020204020204"/>
    <w:charset w:val="86"/>
    <w:family w:val="swiss"/>
    <w:pitch w:val="default"/>
    <w:sig w:usb0="00000000" w:usb1="00000000" w:usb2="00000016" w:usb3="00000000" w:csb0="0004001F" w:csb1="00000000"/>
  </w:font>
  <w:font w:name="微软雅黑">
    <w:altName w:val="方正黑体_GBK"/>
    <w:panose1 w:val="00000000000000000000"/>
    <w:charset w:val="00"/>
    <w:family w:val="auto"/>
    <w:pitch w:val="default"/>
    <w:sig w:usb0="00000000" w:usb1="00000000" w:usb2="00000000" w:usb3="00000000" w:csb0="00000000" w:csb1="00000000"/>
  </w:font>
  <w:font w:name="Tahoma">
    <w:altName w:val="noto sans thai"/>
    <w:panose1 w:val="00000000000000000000"/>
    <w:charset w:val="00"/>
    <w:family w:val="auto"/>
    <w:pitch w:val="default"/>
    <w:sig w:usb0="00000000" w:usb1="00000000" w:usb2="00000000" w:usb3="00000000" w:csb0="00000000" w:csb1="00000000"/>
  </w:font>
  <w:font w:name="文泉驿正黑">
    <w:panose1 w:val="02000603000000000000"/>
    <w:charset w:val="86"/>
    <w:family w:val="auto"/>
    <w:pitch w:val="default"/>
    <w:sig w:usb0="900002BF" w:usb1="2BDF7DFB" w:usb2="00000036" w:usb3="00000000" w:csb0="603E000D" w:csb1="D2D70000"/>
  </w:font>
  <w:font w:name="noto sans thai">
    <w:panose1 w:val="020B0502040504020204"/>
    <w:charset w:val="00"/>
    <w:family w:val="auto"/>
    <w:pitch w:val="default"/>
    <w:sig w:usb0="81000063" w:usb1="00002000" w:usb2="00000000" w:usb3="00000000" w:csb0="00010000" w:csb1="00000000"/>
  </w:font>
  <w:font w:name="Wingdings 3">
    <w:panose1 w:val="05040102010807070707"/>
    <w:charset w:val="00"/>
    <w:family w:val="auto"/>
    <w:pitch w:val="default"/>
    <w:sig w:usb0="00000000" w:usb1="00000000" w:usb2="00000000" w:usb3="00000000" w:csb0="80000000" w:csb1="00000000"/>
  </w:font>
  <w:font w:name="仿宋_GB2312">
    <w:altName w:val="方正仿宋_GBK"/>
    <w:panose1 w:val="02010609030101010101"/>
    <w:charset w:val="00"/>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CAF3">
    <w:pPr>
      <w:jc w:val="center"/>
      <w:rPr>
        <w:rFonts w:hint="eastAsia"/>
      </w:rPr>
    </w:pPr>
    <w:r>
      <w:rPr>
        <w:sz w:val="18"/>
        <w:szCs w:val="18"/>
        <w:lang w:val="zh-CN"/>
      </w:rPr>
      <w:t xml:space="preserve"> </w:t>
    </w:r>
    <w:r>
      <w:rPr>
        <w:b/>
        <w:bCs/>
        <w:sz w:val="18"/>
        <w:szCs w:val="18"/>
      </w:rPr>
      <w:fldChar w:fldCharType="begin"/>
    </w:r>
    <w:r>
      <w:rPr>
        <w:b/>
        <w:bCs/>
        <w:sz w:val="18"/>
        <w:szCs w:val="18"/>
      </w:rPr>
      <w:instrText xml:space="preserve">PAGE  \* Arabic  \* MERGEFORMAT</w:instrText>
    </w:r>
    <w:r>
      <w:rPr>
        <w:b/>
        <w:bCs/>
        <w:sz w:val="18"/>
        <w:szCs w:val="18"/>
      </w:rPr>
      <w:fldChar w:fldCharType="separate"/>
    </w:r>
    <w:r>
      <w:rPr>
        <w:b/>
        <w:bCs/>
        <w:sz w:val="18"/>
        <w:szCs w:val="18"/>
        <w:lang w:val="zh-CN"/>
      </w:rPr>
      <w:t>1</w:t>
    </w:r>
    <w:r>
      <w:rPr>
        <w:b/>
        <w:bCs/>
        <w:sz w:val="18"/>
        <w:szCs w:val="18"/>
      </w:rPr>
      <w:fldChar w:fldCharType="end"/>
    </w:r>
    <w:r>
      <w:rPr>
        <w:sz w:val="18"/>
        <w:szCs w:val="18"/>
        <w:lang w:val="zh-CN"/>
      </w:rPr>
      <w:t xml:space="preserve"> / </w:t>
    </w:r>
    <w:r>
      <w:rPr>
        <w:b/>
        <w:bCs/>
        <w:sz w:val="18"/>
        <w:szCs w:val="18"/>
      </w:rPr>
      <w:fldChar w:fldCharType="begin"/>
    </w:r>
    <w:r>
      <w:rPr>
        <w:b/>
        <w:bCs/>
        <w:sz w:val="18"/>
        <w:szCs w:val="18"/>
      </w:rPr>
      <w:instrText xml:space="preserve">NUMPAGES  \* Arabic  \* MERGEFORMAT</w:instrText>
    </w:r>
    <w:r>
      <w:rPr>
        <w:b/>
        <w:bCs/>
        <w:sz w:val="18"/>
        <w:szCs w:val="18"/>
      </w:rPr>
      <w:fldChar w:fldCharType="separate"/>
    </w:r>
    <w:r>
      <w:rPr>
        <w:b/>
        <w:bCs/>
        <w:sz w:val="18"/>
        <w:szCs w:val="18"/>
        <w:lang w:val="zh-CN"/>
      </w:rPr>
      <w:t>2</w:t>
    </w:r>
    <w:r>
      <w:rPr>
        <w:b/>
        <w:bCs/>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14:paraId="7CC031E2">
      <w:pPr>
        <w:pStyle w:val="14"/>
        <w:rPr>
          <w:rFonts w:hint="eastAsia"/>
          <w:lang w:val="de-DE"/>
        </w:rPr>
      </w:pPr>
      <w:r>
        <w:rPr>
          <w:rStyle w:val="24"/>
          <w:rFonts w:hint="eastAsia"/>
          <w:lang w:val="en-GB"/>
        </w:rPr>
        <w:footnoteRef/>
      </w:r>
      <w:r>
        <w:rPr>
          <w:rFonts w:hint="eastAsia"/>
          <w:lang w:val="de-DE"/>
        </w:rPr>
        <w:t xml:space="preserve"> </w:t>
      </w:r>
      <w:r>
        <w:rPr>
          <w:lang w:val="en-GB"/>
        </w:rPr>
        <w:t>第</w:t>
      </w:r>
      <w:r>
        <w:rPr>
          <w:lang w:val="de-DE"/>
        </w:rPr>
        <w:t xml:space="preserve"> (EU) 2025/2371 </w:t>
      </w:r>
      <w:r>
        <w:rPr>
          <w:lang w:val="en-GB"/>
        </w:rPr>
        <w:t>号实施决定</w:t>
      </w:r>
      <w:r>
        <w:rPr>
          <w:rFonts w:hint="eastAsia"/>
          <w:lang w:val="de-DE"/>
        </w:rPr>
        <w:t>：</w:t>
      </w:r>
      <w:r>
        <w:fldChar w:fldCharType="begin"/>
      </w:r>
      <w:r>
        <w:instrText xml:space="preserve"> HYPERLINK "https://eur-lex.europa.eu/legal-content/EN/TXT/?uri=CELEX:32025D2371" </w:instrText>
      </w:r>
      <w:r>
        <w:fldChar w:fldCharType="separate"/>
      </w:r>
      <w:r>
        <w:rPr>
          <w:rStyle w:val="22"/>
          <w:lang w:val="de-DE"/>
        </w:rPr>
        <w:t>https://eur-lex.europa.eu/legal-content/EN/TXT/?uri=CELEX:32025D2371</w:t>
      </w:r>
      <w:r>
        <w:rPr>
          <w:rStyle w:val="22"/>
          <w:lang w:val="de-DE"/>
        </w:rPr>
        <w:fldChar w:fldCharType="end"/>
      </w:r>
    </w:p>
  </w:footnote>
  <w:footnote w:id="1">
    <w:p w14:paraId="1D8B90C3">
      <w:pPr>
        <w:pStyle w:val="14"/>
        <w:rPr>
          <w:rFonts w:hint="eastAsia"/>
          <w:lang w:val="de-DE"/>
        </w:rPr>
      </w:pPr>
      <w:r>
        <w:rPr>
          <w:rStyle w:val="24"/>
          <w:rFonts w:hint="eastAsia"/>
          <w:lang w:val="en-GB"/>
        </w:rPr>
        <w:footnoteRef/>
      </w:r>
      <w:r>
        <w:rPr>
          <w:rFonts w:hint="eastAsia"/>
          <w:lang w:val="de-DE"/>
        </w:rPr>
        <w:t xml:space="preserve"> </w:t>
      </w:r>
      <w:r>
        <w:rPr>
          <w:rFonts w:hint="eastAsia"/>
          <w:lang w:val="en-GB"/>
        </w:rPr>
        <w:t>欧盟官方公示的</w:t>
      </w:r>
      <w:r>
        <w:rPr>
          <w:rFonts w:hint="eastAsia"/>
          <w:lang w:val="de-DE"/>
        </w:rPr>
        <w:t>MDR</w:t>
      </w:r>
      <w:r>
        <w:rPr>
          <w:rFonts w:hint="eastAsia"/>
          <w:lang w:val="en-GB"/>
        </w:rPr>
        <w:t>项下公告机构列表</w:t>
      </w:r>
      <w:r>
        <w:rPr>
          <w:rFonts w:hint="eastAsia"/>
          <w:lang w:val="de-DE"/>
        </w:rPr>
        <w:t>：</w:t>
      </w:r>
      <w:r>
        <w:fldChar w:fldCharType="begin"/>
      </w:r>
      <w:r>
        <w:rPr>
          <w:lang w:val="de-DE"/>
        </w:rPr>
        <w:instrText xml:space="preserve">HYPERLINK "https://webgate.ec.europa.eu/single-market-compliance-space/notified-bodies/notified-body-list?filter=bodyTypeId:3,notificationStatusId:1,legislationId:34"</w:instrText>
      </w:r>
      <w:r>
        <w:rPr>
          <w:rFonts w:hint="eastAsia"/>
        </w:rPr>
        <w:fldChar w:fldCharType="separate"/>
      </w:r>
      <w:r>
        <w:rPr>
          <w:rStyle w:val="22"/>
          <w:lang w:val="de-DE"/>
        </w:rPr>
        <w:t>https://webgate.ec.europa.eu/single-market-compliance-space/notified-bodies/notified-body-list?filter=bodyTypeId:3,notificationStatusId:1,legislationId:34</w:t>
      </w:r>
      <w:r>
        <w:fldChar w:fldCharType="end"/>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DF5F0">
    <w:pPr>
      <w:jc w:val="cente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CD4C4D"/>
    <w:multiLevelType w:val="multilevel"/>
    <w:tmpl w:val="01CD4C4D"/>
    <w:lvl w:ilvl="0" w:tentative="0">
      <w:start w:val="5"/>
      <w:numFmt w:val="decimal"/>
      <w:lvlText w:val="%1"/>
      <w:lvlJc w:val="left"/>
      <w:pPr>
        <w:ind w:left="360" w:hanging="360"/>
      </w:pPr>
      <w:rPr>
        <w:rFonts w:hint="default"/>
      </w:rPr>
    </w:lvl>
    <w:lvl w:ilvl="1" w:tentative="0">
      <w:start w:val="2"/>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1">
    <w:nsid w:val="01F532AD"/>
    <w:multiLevelType w:val="multilevel"/>
    <w:tmpl w:val="01F532AD"/>
    <w:lvl w:ilvl="0" w:tentative="0">
      <w:start w:val="1"/>
      <w:numFmt w:val="decimal"/>
      <w:lvlText w:val="%1"/>
      <w:lvlJc w:val="left"/>
      <w:pPr>
        <w:ind w:left="390" w:hanging="390"/>
      </w:pPr>
      <w:rPr>
        <w:rFonts w:hint="default"/>
      </w:rPr>
    </w:lvl>
    <w:lvl w:ilvl="1" w:tentative="0">
      <w:start w:val="1"/>
      <w:numFmt w:val="decimal"/>
      <w:lvlText w:val="%1.%2"/>
      <w:lvlJc w:val="left"/>
      <w:pPr>
        <w:ind w:left="390" w:hanging="39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2">
    <w:nsid w:val="04DB698F"/>
    <w:multiLevelType w:val="multilevel"/>
    <w:tmpl w:val="04DB698F"/>
    <w:lvl w:ilvl="0" w:tentative="0">
      <w:start w:val="1"/>
      <w:numFmt w:val="decimal"/>
      <w:lvlText w:val="%1."/>
      <w:lvlJc w:val="left"/>
      <w:pPr>
        <w:ind w:left="360" w:hanging="360"/>
      </w:pPr>
      <w:rPr>
        <w:rFonts w:hint="default"/>
        <w:b/>
      </w:rPr>
    </w:lvl>
    <w:lvl w:ilvl="1" w:tentative="0">
      <w:start w:val="1"/>
      <w:numFmt w:val="decimal"/>
      <w:isLgl/>
      <w:lvlText w:val="%1.%2"/>
      <w:lvlJc w:val="left"/>
      <w:pPr>
        <w:ind w:left="390" w:hanging="39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440" w:hanging="1440"/>
      </w:pPr>
      <w:rPr>
        <w:rFonts w:hint="default"/>
      </w:rPr>
    </w:lvl>
  </w:abstractNum>
  <w:abstractNum w:abstractNumId="3">
    <w:nsid w:val="04F5485E"/>
    <w:multiLevelType w:val="multilevel"/>
    <w:tmpl w:val="04F5485E"/>
    <w:lvl w:ilvl="0" w:tentative="0">
      <w:start w:val="1"/>
      <w:numFmt w:val="japaneseCounting"/>
      <w:lvlText w:val="（%1）"/>
      <w:lvlJc w:val="left"/>
      <w:pPr>
        <w:ind w:left="1000" w:hanging="440"/>
      </w:pPr>
      <w:rPr>
        <w:rFonts w:hint="default"/>
      </w:rPr>
    </w:lvl>
    <w:lvl w:ilvl="1" w:tentative="0">
      <w:start w:val="1"/>
      <w:numFmt w:val="lowerLetter"/>
      <w:lvlText w:val="%2)"/>
      <w:lvlJc w:val="left"/>
      <w:pPr>
        <w:ind w:left="1440" w:hanging="440"/>
      </w:p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4">
    <w:nsid w:val="05444481"/>
    <w:multiLevelType w:val="multilevel"/>
    <w:tmpl w:val="05444481"/>
    <w:lvl w:ilvl="0" w:tentative="0">
      <w:start w:val="7"/>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5">
    <w:nsid w:val="07D05DE9"/>
    <w:multiLevelType w:val="multilevel"/>
    <w:tmpl w:val="07D05DE9"/>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0AB457B5"/>
    <w:multiLevelType w:val="multilevel"/>
    <w:tmpl w:val="0AB457B5"/>
    <w:lvl w:ilvl="0" w:tentative="0">
      <w:start w:val="1"/>
      <w:numFmt w:val="decimal"/>
      <w:lvlText w:val="%1."/>
      <w:lvlJc w:val="left"/>
      <w:pPr>
        <w:ind w:left="360" w:hanging="360"/>
      </w:pPr>
      <w:rPr>
        <w:rFonts w:hint="default"/>
        <w:b/>
      </w:rPr>
    </w:lvl>
    <w:lvl w:ilvl="1" w:tentative="0">
      <w:start w:val="2"/>
      <w:numFmt w:val="decimal"/>
      <w:isLgl/>
      <w:lvlText w:val="%1.%2"/>
      <w:lvlJc w:val="left"/>
      <w:pPr>
        <w:ind w:left="390" w:hanging="39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440" w:hanging="1440"/>
      </w:pPr>
      <w:rPr>
        <w:rFonts w:hint="default"/>
      </w:rPr>
    </w:lvl>
  </w:abstractNum>
  <w:abstractNum w:abstractNumId="7">
    <w:nsid w:val="0C804CE5"/>
    <w:multiLevelType w:val="multilevel"/>
    <w:tmpl w:val="0C804CE5"/>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0FE03A5C"/>
    <w:multiLevelType w:val="multilevel"/>
    <w:tmpl w:val="0FE03A5C"/>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10AE0B85"/>
    <w:multiLevelType w:val="multilevel"/>
    <w:tmpl w:val="10AE0B85"/>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11BF0A1C"/>
    <w:multiLevelType w:val="multilevel"/>
    <w:tmpl w:val="11BF0A1C"/>
    <w:lvl w:ilvl="0" w:tentative="0">
      <w:start w:val="1"/>
      <w:numFmt w:val="chineseCountingThousand"/>
      <w:suff w:val="nothing"/>
      <w:lvlText w:val="第%1章"/>
      <w:lvlJc w:val="left"/>
      <w:pPr>
        <w:ind w:left="0" w:firstLine="0"/>
      </w:pPr>
      <w:rPr>
        <w:rFonts w:hint="eastAsia"/>
      </w:rPr>
    </w:lvl>
    <w:lvl w:ilvl="1" w:tentative="0">
      <w:start w:val="1"/>
      <w:numFmt w:val="chineseCountingThousand"/>
      <w:suff w:val="nothing"/>
      <w:lvlText w:val="第%2节"/>
      <w:lvlJc w:val="left"/>
      <w:pPr>
        <w:ind w:left="0" w:firstLine="0"/>
      </w:pPr>
      <w:rPr>
        <w:rFonts w:hint="eastAsia"/>
        <w:sz w:val="28"/>
        <w:szCs w:val="28"/>
      </w:rPr>
    </w:lvl>
    <w:lvl w:ilvl="2" w:tentative="0">
      <w:start w:val="1"/>
      <w:numFmt w:val="chineseCountingThousand"/>
      <w:suff w:val="nothing"/>
      <w:lvlText w:val="%3、"/>
      <w:lvlJc w:val="left"/>
      <w:pPr>
        <w:ind w:left="0" w:firstLine="0"/>
      </w:pPr>
      <w:rPr>
        <w:rFonts w:hint="eastAsia"/>
        <w:b/>
        <w:bCs/>
      </w:rPr>
    </w:lvl>
    <w:lvl w:ilvl="3" w:tentative="0">
      <w:start w:val="1"/>
      <w:numFmt w:val="chineseCountingThousand"/>
      <w:suff w:val="nothing"/>
      <w:lvlText w:val="（%4）"/>
      <w:lvlJc w:val="left"/>
      <w:pPr>
        <w:ind w:left="0" w:firstLine="0"/>
      </w:pPr>
      <w:rPr>
        <w:rFonts w:hint="eastAsia"/>
        <w:b/>
        <w:bCs/>
        <w:lang w:val="en-US"/>
      </w:rPr>
    </w:lvl>
    <w:lvl w:ilvl="4" w:tentative="0">
      <w:start w:val="1"/>
      <w:numFmt w:val="decimal"/>
      <w:lvlText w:val="%5."/>
      <w:lvlJc w:val="left"/>
      <w:pPr>
        <w:ind w:left="1007" w:hanging="440"/>
      </w:pPr>
      <w:rPr>
        <w:rFonts w:hint="default" w:ascii="Times New Roman" w:hAnsi="Times New Roman" w:eastAsia="宋体"/>
        <w:b/>
        <w:bCs w:val="0"/>
        <w:i w:val="0"/>
        <w:sz w:val="28"/>
        <w:szCs w:val="28"/>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1">
    <w:nsid w:val="11F04595"/>
    <w:multiLevelType w:val="multilevel"/>
    <w:tmpl w:val="11F04595"/>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36F3A3D"/>
    <w:multiLevelType w:val="multilevel"/>
    <w:tmpl w:val="136F3A3D"/>
    <w:lvl w:ilvl="0" w:tentative="0">
      <w:start w:val="6"/>
      <w:numFmt w:val="decimal"/>
      <w:lvlText w:val="%1"/>
      <w:lvlJc w:val="left"/>
      <w:pPr>
        <w:ind w:left="360" w:hanging="360"/>
      </w:pPr>
      <w:rPr>
        <w:rFonts w:hint="default"/>
      </w:rPr>
    </w:lvl>
    <w:lvl w:ilvl="1" w:tentative="0">
      <w:start w:val="2"/>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13">
    <w:nsid w:val="141B1548"/>
    <w:multiLevelType w:val="multilevel"/>
    <w:tmpl w:val="141B1548"/>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4">
    <w:nsid w:val="18C32EC4"/>
    <w:multiLevelType w:val="multilevel"/>
    <w:tmpl w:val="18C32EC4"/>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5">
    <w:nsid w:val="1D8118FE"/>
    <w:multiLevelType w:val="multilevel"/>
    <w:tmpl w:val="1D8118FE"/>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6">
    <w:nsid w:val="20050FC2"/>
    <w:multiLevelType w:val="multilevel"/>
    <w:tmpl w:val="20050FC2"/>
    <w:lvl w:ilvl="0" w:tentative="0">
      <w:start w:val="1"/>
      <w:numFmt w:val="decimal"/>
      <w:lvlText w:val="%1."/>
      <w:lvlJc w:val="left"/>
      <w:pPr>
        <w:ind w:left="1148" w:hanging="440"/>
      </w:pPr>
      <w:rPr>
        <w:rFonts w:hint="default" w:ascii="Times New Roman" w:hAnsi="Times New Roman" w:eastAsia="宋体"/>
        <w:b/>
        <w:bCs w:val="0"/>
        <w:i w:val="0"/>
        <w:sz w:val="28"/>
        <w:szCs w:val="28"/>
      </w:rPr>
    </w:lvl>
    <w:lvl w:ilvl="1" w:tentative="0">
      <w:start w:val="1"/>
      <w:numFmt w:val="lowerLetter"/>
      <w:lvlText w:val="%2)"/>
      <w:lvlJc w:val="left"/>
      <w:pPr>
        <w:ind w:left="1588" w:hanging="440"/>
      </w:pPr>
    </w:lvl>
    <w:lvl w:ilvl="2" w:tentative="0">
      <w:start w:val="1"/>
      <w:numFmt w:val="lowerRoman"/>
      <w:lvlText w:val="%3."/>
      <w:lvlJc w:val="right"/>
      <w:pPr>
        <w:ind w:left="2028" w:hanging="440"/>
      </w:pPr>
    </w:lvl>
    <w:lvl w:ilvl="3" w:tentative="0">
      <w:start w:val="1"/>
      <w:numFmt w:val="decimal"/>
      <w:lvlText w:val="%4."/>
      <w:lvlJc w:val="left"/>
      <w:pPr>
        <w:ind w:left="2468" w:hanging="440"/>
      </w:pPr>
    </w:lvl>
    <w:lvl w:ilvl="4" w:tentative="0">
      <w:start w:val="1"/>
      <w:numFmt w:val="lowerLetter"/>
      <w:lvlText w:val="%5)"/>
      <w:lvlJc w:val="left"/>
      <w:pPr>
        <w:ind w:left="2908" w:hanging="440"/>
      </w:pPr>
    </w:lvl>
    <w:lvl w:ilvl="5" w:tentative="0">
      <w:start w:val="1"/>
      <w:numFmt w:val="lowerRoman"/>
      <w:lvlText w:val="%6."/>
      <w:lvlJc w:val="right"/>
      <w:pPr>
        <w:ind w:left="3348" w:hanging="440"/>
      </w:pPr>
    </w:lvl>
    <w:lvl w:ilvl="6" w:tentative="0">
      <w:start w:val="1"/>
      <w:numFmt w:val="decimal"/>
      <w:lvlText w:val="%7."/>
      <w:lvlJc w:val="left"/>
      <w:pPr>
        <w:ind w:left="3788" w:hanging="440"/>
      </w:pPr>
    </w:lvl>
    <w:lvl w:ilvl="7" w:tentative="0">
      <w:start w:val="1"/>
      <w:numFmt w:val="lowerLetter"/>
      <w:lvlText w:val="%8)"/>
      <w:lvlJc w:val="left"/>
      <w:pPr>
        <w:ind w:left="4228" w:hanging="440"/>
      </w:pPr>
    </w:lvl>
    <w:lvl w:ilvl="8" w:tentative="0">
      <w:start w:val="1"/>
      <w:numFmt w:val="lowerRoman"/>
      <w:lvlText w:val="%9."/>
      <w:lvlJc w:val="right"/>
      <w:pPr>
        <w:ind w:left="4668" w:hanging="440"/>
      </w:pPr>
    </w:lvl>
  </w:abstractNum>
  <w:abstractNum w:abstractNumId="17">
    <w:nsid w:val="22111EBB"/>
    <w:multiLevelType w:val="multilevel"/>
    <w:tmpl w:val="22111EBB"/>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22E43F59"/>
    <w:multiLevelType w:val="multilevel"/>
    <w:tmpl w:val="22E43F59"/>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23BA4347"/>
    <w:multiLevelType w:val="multilevel"/>
    <w:tmpl w:val="23BA4347"/>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23E95B58"/>
    <w:multiLevelType w:val="multilevel"/>
    <w:tmpl w:val="23E95B58"/>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240042D7"/>
    <w:multiLevelType w:val="multilevel"/>
    <w:tmpl w:val="240042D7"/>
    <w:lvl w:ilvl="0" w:tentative="0">
      <w:start w:val="1"/>
      <w:numFmt w:val="japaneseCounting"/>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28266FB6"/>
    <w:multiLevelType w:val="multilevel"/>
    <w:tmpl w:val="28266FB6"/>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29642BBD"/>
    <w:multiLevelType w:val="multilevel"/>
    <w:tmpl w:val="29642BBD"/>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29A30C99"/>
    <w:multiLevelType w:val="multilevel"/>
    <w:tmpl w:val="29A30C99"/>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5">
    <w:nsid w:val="2E496CAB"/>
    <w:multiLevelType w:val="multilevel"/>
    <w:tmpl w:val="2E496CAB"/>
    <w:lvl w:ilvl="0" w:tentative="0">
      <w:start w:val="2"/>
      <w:numFmt w:val="decimal"/>
      <w:lvlText w:val="%1"/>
      <w:lvlJc w:val="left"/>
      <w:pPr>
        <w:ind w:left="360" w:hanging="360"/>
      </w:pPr>
      <w:rPr>
        <w:rFonts w:hint="default"/>
      </w:rPr>
    </w:lvl>
    <w:lvl w:ilvl="1" w:tentative="0">
      <w:start w:val="4"/>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26">
    <w:nsid w:val="33B4340D"/>
    <w:multiLevelType w:val="multilevel"/>
    <w:tmpl w:val="33B4340D"/>
    <w:lvl w:ilvl="0" w:tentative="0">
      <w:start w:val="1"/>
      <w:numFmt w:val="japaneseCounting"/>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7">
    <w:nsid w:val="352C066D"/>
    <w:multiLevelType w:val="multilevel"/>
    <w:tmpl w:val="352C066D"/>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8">
    <w:nsid w:val="3B6555FE"/>
    <w:multiLevelType w:val="multilevel"/>
    <w:tmpl w:val="3B6555FE"/>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9">
    <w:nsid w:val="3CB40CE7"/>
    <w:multiLevelType w:val="multilevel"/>
    <w:tmpl w:val="3CB40CE7"/>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0">
    <w:nsid w:val="3D47011D"/>
    <w:multiLevelType w:val="multilevel"/>
    <w:tmpl w:val="3D47011D"/>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1">
    <w:nsid w:val="419947C1"/>
    <w:multiLevelType w:val="multilevel"/>
    <w:tmpl w:val="419947C1"/>
    <w:lvl w:ilvl="0" w:tentative="0">
      <w:start w:val="6"/>
      <w:numFmt w:val="decimal"/>
      <w:lvlText w:val="%1"/>
      <w:lvlJc w:val="left"/>
      <w:pPr>
        <w:ind w:left="450" w:hanging="450"/>
      </w:pPr>
      <w:rPr>
        <w:rFonts w:hint="default"/>
      </w:rPr>
    </w:lvl>
    <w:lvl w:ilvl="1" w:tentative="0">
      <w:start w:val="3"/>
      <w:numFmt w:val="decimal"/>
      <w:lvlText w:val="%1.%2"/>
      <w:lvlJc w:val="left"/>
      <w:pPr>
        <w:ind w:left="450" w:hanging="450"/>
      </w:pPr>
      <w:rPr>
        <w:rFonts w:hint="default"/>
      </w:rPr>
    </w:lvl>
    <w:lvl w:ilvl="2" w:tentative="0">
      <w:start w:val="3"/>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32">
    <w:nsid w:val="428F18B0"/>
    <w:multiLevelType w:val="multilevel"/>
    <w:tmpl w:val="428F18B0"/>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3">
    <w:nsid w:val="451502A8"/>
    <w:multiLevelType w:val="multilevel"/>
    <w:tmpl w:val="451502A8"/>
    <w:lvl w:ilvl="0" w:tentative="0">
      <w:start w:val="1"/>
      <w:numFmt w:val="decimal"/>
      <w:lvlText w:val="%1."/>
      <w:lvlJc w:val="left"/>
      <w:pPr>
        <w:ind w:left="360" w:hanging="360"/>
      </w:pPr>
      <w:rPr>
        <w:rFonts w:hint="default"/>
      </w:rPr>
    </w:lvl>
    <w:lvl w:ilvl="1" w:tentative="0">
      <w:start w:val="1"/>
      <w:numFmt w:val="decimal"/>
      <w:isLgl/>
      <w:lvlText w:val="%1.%2"/>
      <w:lvlJc w:val="left"/>
      <w:pPr>
        <w:ind w:left="390" w:hanging="39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440" w:hanging="1440"/>
      </w:pPr>
      <w:rPr>
        <w:rFonts w:hint="default"/>
      </w:rPr>
    </w:lvl>
  </w:abstractNum>
  <w:abstractNum w:abstractNumId="34">
    <w:nsid w:val="481E782C"/>
    <w:multiLevelType w:val="multilevel"/>
    <w:tmpl w:val="481E782C"/>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5">
    <w:nsid w:val="49C07F98"/>
    <w:multiLevelType w:val="multilevel"/>
    <w:tmpl w:val="49C07F98"/>
    <w:lvl w:ilvl="0" w:tentative="0">
      <w:start w:val="3"/>
      <w:numFmt w:val="decimal"/>
      <w:lvlText w:val="%1."/>
      <w:lvlJc w:val="left"/>
      <w:pPr>
        <w:ind w:left="360" w:hanging="360"/>
      </w:pPr>
      <w:rPr>
        <w:rFonts w:hint="default"/>
      </w:rPr>
    </w:lvl>
    <w:lvl w:ilvl="1" w:tentative="0">
      <w:start w:val="2"/>
      <w:numFmt w:val="decimal"/>
      <w:isLgl/>
      <w:lvlText w:val="%1.%2"/>
      <w:lvlJc w:val="left"/>
      <w:pPr>
        <w:ind w:left="360" w:hanging="36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440" w:hanging="1440"/>
      </w:pPr>
      <w:rPr>
        <w:rFonts w:hint="default"/>
      </w:rPr>
    </w:lvl>
  </w:abstractNum>
  <w:abstractNum w:abstractNumId="36">
    <w:nsid w:val="4B500FB5"/>
    <w:multiLevelType w:val="multilevel"/>
    <w:tmpl w:val="4B500FB5"/>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7">
    <w:nsid w:val="4C580BF3"/>
    <w:multiLevelType w:val="multilevel"/>
    <w:tmpl w:val="4C580BF3"/>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8">
    <w:nsid w:val="4C6E6BEB"/>
    <w:multiLevelType w:val="multilevel"/>
    <w:tmpl w:val="4C6E6BEB"/>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9">
    <w:nsid w:val="53053DA1"/>
    <w:multiLevelType w:val="multilevel"/>
    <w:tmpl w:val="53053DA1"/>
    <w:lvl w:ilvl="0" w:tentative="0">
      <w:start w:val="1"/>
      <w:numFmt w:val="decimal"/>
      <w:lvlText w:val="%1."/>
      <w:lvlJc w:val="left"/>
      <w:pPr>
        <w:ind w:left="360" w:hanging="360"/>
      </w:pPr>
      <w:rPr>
        <w:rFonts w:hint="default"/>
        <w:b/>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0">
    <w:nsid w:val="547A1EB8"/>
    <w:multiLevelType w:val="multilevel"/>
    <w:tmpl w:val="547A1EB8"/>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1">
    <w:nsid w:val="550F753B"/>
    <w:multiLevelType w:val="multilevel"/>
    <w:tmpl w:val="550F753B"/>
    <w:lvl w:ilvl="0" w:tentative="0">
      <w:start w:val="1"/>
      <w:numFmt w:val="japaneseCounting"/>
      <w:lvlText w:val="（%1）"/>
      <w:lvlJc w:val="left"/>
      <w:pPr>
        <w:ind w:left="1287" w:hanging="720"/>
      </w:pPr>
      <w:rPr>
        <w:rFonts w:hint="default"/>
      </w:rPr>
    </w:lvl>
    <w:lvl w:ilvl="1" w:tentative="0">
      <w:start w:val="1"/>
      <w:numFmt w:val="lowerLetter"/>
      <w:lvlText w:val="%2)"/>
      <w:lvlJc w:val="left"/>
      <w:pPr>
        <w:ind w:left="1447" w:hanging="440"/>
      </w:pPr>
    </w:lvl>
    <w:lvl w:ilvl="2" w:tentative="0">
      <w:start w:val="1"/>
      <w:numFmt w:val="lowerRoman"/>
      <w:lvlText w:val="%3."/>
      <w:lvlJc w:val="right"/>
      <w:pPr>
        <w:ind w:left="1887" w:hanging="440"/>
      </w:pPr>
    </w:lvl>
    <w:lvl w:ilvl="3" w:tentative="0">
      <w:start w:val="1"/>
      <w:numFmt w:val="decimal"/>
      <w:lvlText w:val="%4."/>
      <w:lvlJc w:val="left"/>
      <w:pPr>
        <w:ind w:left="2327" w:hanging="440"/>
      </w:pPr>
    </w:lvl>
    <w:lvl w:ilvl="4" w:tentative="0">
      <w:start w:val="1"/>
      <w:numFmt w:val="lowerLetter"/>
      <w:lvlText w:val="%5)"/>
      <w:lvlJc w:val="left"/>
      <w:pPr>
        <w:ind w:left="2767" w:hanging="440"/>
      </w:pPr>
    </w:lvl>
    <w:lvl w:ilvl="5" w:tentative="0">
      <w:start w:val="1"/>
      <w:numFmt w:val="lowerRoman"/>
      <w:lvlText w:val="%6."/>
      <w:lvlJc w:val="right"/>
      <w:pPr>
        <w:ind w:left="3207" w:hanging="440"/>
      </w:pPr>
    </w:lvl>
    <w:lvl w:ilvl="6" w:tentative="0">
      <w:start w:val="1"/>
      <w:numFmt w:val="decimal"/>
      <w:lvlText w:val="%7."/>
      <w:lvlJc w:val="left"/>
      <w:pPr>
        <w:ind w:left="3647" w:hanging="440"/>
      </w:pPr>
    </w:lvl>
    <w:lvl w:ilvl="7" w:tentative="0">
      <w:start w:val="1"/>
      <w:numFmt w:val="lowerLetter"/>
      <w:lvlText w:val="%8)"/>
      <w:lvlJc w:val="left"/>
      <w:pPr>
        <w:ind w:left="4087" w:hanging="440"/>
      </w:pPr>
    </w:lvl>
    <w:lvl w:ilvl="8" w:tentative="0">
      <w:start w:val="1"/>
      <w:numFmt w:val="lowerRoman"/>
      <w:lvlText w:val="%9."/>
      <w:lvlJc w:val="right"/>
      <w:pPr>
        <w:ind w:left="4527" w:hanging="440"/>
      </w:pPr>
    </w:lvl>
  </w:abstractNum>
  <w:abstractNum w:abstractNumId="42">
    <w:nsid w:val="5A7873CE"/>
    <w:multiLevelType w:val="multilevel"/>
    <w:tmpl w:val="5A7873CE"/>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3">
    <w:nsid w:val="5D6C3665"/>
    <w:multiLevelType w:val="multilevel"/>
    <w:tmpl w:val="5D6C3665"/>
    <w:lvl w:ilvl="0" w:tentative="0">
      <w:start w:val="1"/>
      <w:numFmt w:val="japaneseCounting"/>
      <w:lvlText w:val="（%1）"/>
      <w:lvlJc w:val="left"/>
      <w:pPr>
        <w:ind w:left="1000" w:hanging="440"/>
      </w:pPr>
      <w:rPr>
        <w:rFonts w:hint="default"/>
      </w:rPr>
    </w:lvl>
    <w:lvl w:ilvl="1" w:tentative="0">
      <w:start w:val="1"/>
      <w:numFmt w:val="lowerLetter"/>
      <w:lvlText w:val="%2)"/>
      <w:lvlJc w:val="left"/>
      <w:pPr>
        <w:ind w:left="1440" w:hanging="440"/>
      </w:p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44">
    <w:nsid w:val="61484A62"/>
    <w:multiLevelType w:val="multilevel"/>
    <w:tmpl w:val="61484A62"/>
    <w:lvl w:ilvl="0" w:tentative="0">
      <w:start w:val="1"/>
      <w:numFmt w:val="japaneseCounting"/>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5">
    <w:nsid w:val="614A22BF"/>
    <w:multiLevelType w:val="multilevel"/>
    <w:tmpl w:val="614A22BF"/>
    <w:lvl w:ilvl="0" w:tentative="0">
      <w:start w:val="1"/>
      <w:numFmt w:val="chineseCountingThousand"/>
      <w:suff w:val="nothing"/>
      <w:lvlText w:val="第%1章"/>
      <w:lvlJc w:val="left"/>
      <w:pPr>
        <w:ind w:left="0" w:firstLine="0"/>
      </w:pPr>
      <w:rPr>
        <w:rFonts w:hint="eastAsia"/>
      </w:rPr>
    </w:lvl>
    <w:lvl w:ilvl="1" w:tentative="0">
      <w:start w:val="1"/>
      <w:numFmt w:val="chineseCountingThousand"/>
      <w:suff w:val="nothing"/>
      <w:lvlText w:val="第%2节"/>
      <w:lvlJc w:val="left"/>
      <w:pPr>
        <w:ind w:left="0" w:firstLine="0"/>
      </w:pPr>
      <w:rPr>
        <w:rFonts w:hint="eastAsia"/>
        <w:sz w:val="28"/>
        <w:szCs w:val="28"/>
      </w:rPr>
    </w:lvl>
    <w:lvl w:ilvl="2" w:tentative="0">
      <w:start w:val="1"/>
      <w:numFmt w:val="chineseCountingThousand"/>
      <w:suff w:val="nothing"/>
      <w:lvlText w:val="%3、"/>
      <w:lvlJc w:val="left"/>
      <w:pPr>
        <w:ind w:left="0" w:firstLine="0"/>
      </w:pPr>
      <w:rPr>
        <w:rFonts w:hint="eastAsia"/>
        <w:b/>
        <w:bCs/>
      </w:rPr>
    </w:lvl>
    <w:lvl w:ilvl="3" w:tentative="0">
      <w:start w:val="1"/>
      <w:numFmt w:val="chineseCountingThousand"/>
      <w:suff w:val="nothing"/>
      <w:lvlText w:val="（%4）"/>
      <w:lvlJc w:val="left"/>
      <w:pPr>
        <w:ind w:left="0" w:firstLine="0"/>
      </w:pPr>
      <w:rPr>
        <w:rFonts w:hint="eastAsia"/>
        <w:b/>
        <w:bCs/>
        <w:lang w:val="en-US"/>
      </w:rPr>
    </w:lvl>
    <w:lvl w:ilvl="4" w:tentative="0">
      <w:start w:val="1"/>
      <w:numFmt w:val="decimal"/>
      <w:lvlText w:val="%5."/>
      <w:lvlJc w:val="left"/>
      <w:pPr>
        <w:ind w:left="1007" w:hanging="440"/>
      </w:pPr>
      <w:rPr>
        <w:rFonts w:hint="default" w:ascii="Times New Roman" w:hAnsi="Times New Roman" w:eastAsia="宋体"/>
        <w:b/>
        <w:bCs w:val="0"/>
        <w:i w:val="0"/>
        <w:sz w:val="28"/>
        <w:szCs w:val="28"/>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46">
    <w:nsid w:val="62C1545F"/>
    <w:multiLevelType w:val="multilevel"/>
    <w:tmpl w:val="62C1545F"/>
    <w:lvl w:ilvl="0" w:tentative="0">
      <w:start w:val="3"/>
      <w:numFmt w:val="decimal"/>
      <w:lvlText w:val="%1"/>
      <w:lvlJc w:val="left"/>
      <w:pPr>
        <w:ind w:left="360" w:hanging="360"/>
      </w:pPr>
      <w:rPr>
        <w:rFonts w:hint="default"/>
        <w:b w:val="0"/>
      </w:rPr>
    </w:lvl>
    <w:lvl w:ilvl="1" w:tentative="0">
      <w:start w:val="3"/>
      <w:numFmt w:val="decimal"/>
      <w:lvlText w:val="%1.%2"/>
      <w:lvlJc w:val="left"/>
      <w:pPr>
        <w:ind w:left="360" w:hanging="360"/>
      </w:pPr>
      <w:rPr>
        <w:rFonts w:hint="default"/>
        <w:b/>
        <w:bCs w:val="0"/>
      </w:rPr>
    </w:lvl>
    <w:lvl w:ilvl="2" w:tentative="0">
      <w:start w:val="1"/>
      <w:numFmt w:val="decimal"/>
      <w:lvlText w:val="%1.%2.%3"/>
      <w:lvlJc w:val="left"/>
      <w:pPr>
        <w:ind w:left="720" w:hanging="720"/>
      </w:pPr>
      <w:rPr>
        <w:rFonts w:hint="default"/>
        <w:b w:val="0"/>
      </w:rPr>
    </w:lvl>
    <w:lvl w:ilvl="3" w:tentative="0">
      <w:start w:val="1"/>
      <w:numFmt w:val="decimal"/>
      <w:lvlText w:val="%1.%2.%3.%4"/>
      <w:lvlJc w:val="left"/>
      <w:pPr>
        <w:ind w:left="720" w:hanging="720"/>
      </w:pPr>
      <w:rPr>
        <w:rFonts w:hint="default"/>
        <w:b w:val="0"/>
      </w:rPr>
    </w:lvl>
    <w:lvl w:ilvl="4" w:tentative="0">
      <w:start w:val="1"/>
      <w:numFmt w:val="decimal"/>
      <w:lvlText w:val="%1.%2.%3.%4.%5"/>
      <w:lvlJc w:val="left"/>
      <w:pPr>
        <w:ind w:left="1080" w:hanging="1080"/>
      </w:pPr>
      <w:rPr>
        <w:rFonts w:hint="default"/>
        <w:b w:val="0"/>
      </w:rPr>
    </w:lvl>
    <w:lvl w:ilvl="5" w:tentative="0">
      <w:start w:val="1"/>
      <w:numFmt w:val="decimal"/>
      <w:lvlText w:val="%1.%2.%3.%4.%5.%6"/>
      <w:lvlJc w:val="left"/>
      <w:pPr>
        <w:ind w:left="1080" w:hanging="1080"/>
      </w:pPr>
      <w:rPr>
        <w:rFonts w:hint="default"/>
        <w:b w:val="0"/>
      </w:rPr>
    </w:lvl>
    <w:lvl w:ilvl="6" w:tentative="0">
      <w:start w:val="1"/>
      <w:numFmt w:val="decimal"/>
      <w:lvlText w:val="%1.%2.%3.%4.%5.%6.%7"/>
      <w:lvlJc w:val="left"/>
      <w:pPr>
        <w:ind w:left="1440" w:hanging="1440"/>
      </w:pPr>
      <w:rPr>
        <w:rFonts w:hint="default"/>
        <w:b w:val="0"/>
      </w:rPr>
    </w:lvl>
    <w:lvl w:ilvl="7" w:tentative="0">
      <w:start w:val="1"/>
      <w:numFmt w:val="decimal"/>
      <w:lvlText w:val="%1.%2.%3.%4.%5.%6.%7.%8"/>
      <w:lvlJc w:val="left"/>
      <w:pPr>
        <w:ind w:left="1440" w:hanging="1440"/>
      </w:pPr>
      <w:rPr>
        <w:rFonts w:hint="default"/>
        <w:b w:val="0"/>
      </w:rPr>
    </w:lvl>
    <w:lvl w:ilvl="8" w:tentative="0">
      <w:start w:val="1"/>
      <w:numFmt w:val="decimal"/>
      <w:lvlText w:val="%1.%2.%3.%4.%5.%6.%7.%8.%9"/>
      <w:lvlJc w:val="left"/>
      <w:pPr>
        <w:ind w:left="1440" w:hanging="1440"/>
      </w:pPr>
      <w:rPr>
        <w:rFonts w:hint="default"/>
        <w:b w:val="0"/>
      </w:rPr>
    </w:lvl>
  </w:abstractNum>
  <w:abstractNum w:abstractNumId="47">
    <w:nsid w:val="63C70C24"/>
    <w:multiLevelType w:val="multilevel"/>
    <w:tmpl w:val="63C70C24"/>
    <w:lvl w:ilvl="0" w:tentative="0">
      <w:start w:val="1"/>
      <w:numFmt w:val="decimal"/>
      <w:lvlText w:val="%1."/>
      <w:lvlJc w:val="left"/>
      <w:pPr>
        <w:ind w:left="360" w:hanging="360"/>
      </w:pPr>
      <w:rPr>
        <w:rFonts w:hint="default"/>
        <w:b/>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8">
    <w:nsid w:val="63F87B0E"/>
    <w:multiLevelType w:val="multilevel"/>
    <w:tmpl w:val="63F87B0E"/>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9">
    <w:nsid w:val="641B238F"/>
    <w:multiLevelType w:val="multilevel"/>
    <w:tmpl w:val="641B238F"/>
    <w:lvl w:ilvl="0" w:tentative="0">
      <w:start w:val="1"/>
      <w:numFmt w:val="decimal"/>
      <w:lvlText w:val="%1."/>
      <w:lvlJc w:val="left"/>
      <w:pPr>
        <w:ind w:left="360" w:hanging="360"/>
      </w:pPr>
      <w:rPr>
        <w:rFonts w:hint="default"/>
      </w:rPr>
    </w:lvl>
    <w:lvl w:ilvl="1" w:tentative="0">
      <w:start w:val="1"/>
      <w:numFmt w:val="decimal"/>
      <w:isLgl/>
      <w:lvlText w:val="%1.%2"/>
      <w:lvlJc w:val="left"/>
      <w:pPr>
        <w:ind w:left="360" w:hanging="36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440" w:hanging="1440"/>
      </w:pPr>
      <w:rPr>
        <w:rFonts w:hint="default"/>
      </w:rPr>
    </w:lvl>
  </w:abstractNum>
  <w:abstractNum w:abstractNumId="50">
    <w:nsid w:val="64264754"/>
    <w:multiLevelType w:val="multilevel"/>
    <w:tmpl w:val="64264754"/>
    <w:lvl w:ilvl="0" w:tentative="0">
      <w:start w:val="1"/>
      <w:numFmt w:val="japaneseCounting"/>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1">
    <w:nsid w:val="66F33D13"/>
    <w:multiLevelType w:val="multilevel"/>
    <w:tmpl w:val="66F33D13"/>
    <w:lvl w:ilvl="0" w:tentative="0">
      <w:start w:val="1"/>
      <w:numFmt w:val="japaneseCounting"/>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2">
    <w:nsid w:val="7094224A"/>
    <w:multiLevelType w:val="multilevel"/>
    <w:tmpl w:val="7094224A"/>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3">
    <w:nsid w:val="70A53F5F"/>
    <w:multiLevelType w:val="multilevel"/>
    <w:tmpl w:val="70A53F5F"/>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4">
    <w:nsid w:val="763930CF"/>
    <w:multiLevelType w:val="multilevel"/>
    <w:tmpl w:val="763930CF"/>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5">
    <w:nsid w:val="76920B7A"/>
    <w:multiLevelType w:val="multilevel"/>
    <w:tmpl w:val="76920B7A"/>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6">
    <w:nsid w:val="792B2BF4"/>
    <w:multiLevelType w:val="multilevel"/>
    <w:tmpl w:val="792B2BF4"/>
    <w:lvl w:ilvl="0" w:tentative="0">
      <w:start w:val="1"/>
      <w:numFmt w:val="decimal"/>
      <w:lvlText w:val="%1."/>
      <w:lvlJc w:val="left"/>
      <w:pPr>
        <w:ind w:left="1560" w:hanging="440"/>
      </w:pPr>
      <w:rPr>
        <w:rFonts w:hint="default" w:ascii="Times New Roman" w:hAnsi="Times New Roman" w:eastAsia="宋体"/>
        <w:b/>
        <w:bCs w:val="0"/>
        <w:i w:val="0"/>
        <w:sz w:val="28"/>
        <w:szCs w:val="28"/>
      </w:rPr>
    </w:lvl>
    <w:lvl w:ilvl="1" w:tentative="0">
      <w:start w:val="1"/>
      <w:numFmt w:val="lowerLetter"/>
      <w:lvlText w:val="%2)"/>
      <w:lvlJc w:val="left"/>
      <w:pPr>
        <w:ind w:left="2000" w:hanging="440"/>
      </w:pPr>
    </w:lvl>
    <w:lvl w:ilvl="2" w:tentative="0">
      <w:start w:val="1"/>
      <w:numFmt w:val="lowerRoman"/>
      <w:lvlText w:val="%3."/>
      <w:lvlJc w:val="right"/>
      <w:pPr>
        <w:ind w:left="2440" w:hanging="440"/>
      </w:pPr>
    </w:lvl>
    <w:lvl w:ilvl="3" w:tentative="0">
      <w:start w:val="1"/>
      <w:numFmt w:val="decimal"/>
      <w:lvlText w:val="%4."/>
      <w:lvlJc w:val="left"/>
      <w:pPr>
        <w:ind w:left="2880" w:hanging="440"/>
      </w:pPr>
    </w:lvl>
    <w:lvl w:ilvl="4" w:tentative="0">
      <w:start w:val="1"/>
      <w:numFmt w:val="lowerLetter"/>
      <w:lvlText w:val="%5)"/>
      <w:lvlJc w:val="left"/>
      <w:pPr>
        <w:ind w:left="3320" w:hanging="440"/>
      </w:pPr>
    </w:lvl>
    <w:lvl w:ilvl="5" w:tentative="0">
      <w:start w:val="1"/>
      <w:numFmt w:val="lowerRoman"/>
      <w:lvlText w:val="%6."/>
      <w:lvlJc w:val="right"/>
      <w:pPr>
        <w:ind w:left="3760" w:hanging="440"/>
      </w:pPr>
    </w:lvl>
    <w:lvl w:ilvl="6" w:tentative="0">
      <w:start w:val="1"/>
      <w:numFmt w:val="decimal"/>
      <w:lvlText w:val="%7."/>
      <w:lvlJc w:val="left"/>
      <w:pPr>
        <w:ind w:left="4200" w:hanging="440"/>
      </w:pPr>
    </w:lvl>
    <w:lvl w:ilvl="7" w:tentative="0">
      <w:start w:val="1"/>
      <w:numFmt w:val="lowerLetter"/>
      <w:lvlText w:val="%8)"/>
      <w:lvlJc w:val="left"/>
      <w:pPr>
        <w:ind w:left="4640" w:hanging="440"/>
      </w:pPr>
    </w:lvl>
    <w:lvl w:ilvl="8" w:tentative="0">
      <w:start w:val="1"/>
      <w:numFmt w:val="lowerRoman"/>
      <w:lvlText w:val="%9."/>
      <w:lvlJc w:val="right"/>
      <w:pPr>
        <w:ind w:left="5080" w:hanging="440"/>
      </w:pPr>
    </w:lvl>
  </w:abstractNum>
  <w:abstractNum w:abstractNumId="57">
    <w:nsid w:val="7A9447B9"/>
    <w:multiLevelType w:val="multilevel"/>
    <w:tmpl w:val="7A9447B9"/>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8">
    <w:nsid w:val="7BB178F7"/>
    <w:multiLevelType w:val="multilevel"/>
    <w:tmpl w:val="7BB178F7"/>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45"/>
  </w:num>
  <w:num w:numId="2">
    <w:abstractNumId w:val="16"/>
  </w:num>
  <w:num w:numId="3">
    <w:abstractNumId w:val="43"/>
  </w:num>
  <w:num w:numId="4">
    <w:abstractNumId w:val="3"/>
  </w:num>
  <w:num w:numId="5">
    <w:abstractNumId w:val="56"/>
  </w:num>
  <w:num w:numId="6">
    <w:abstractNumId w:val="10"/>
  </w:num>
  <w:num w:numId="7">
    <w:abstractNumId w:val="41"/>
  </w:num>
  <w:num w:numId="8">
    <w:abstractNumId w:val="39"/>
  </w:num>
  <w:num w:numId="9">
    <w:abstractNumId w:val="49"/>
  </w:num>
  <w:num w:numId="10">
    <w:abstractNumId w:val="33"/>
  </w:num>
  <w:num w:numId="11">
    <w:abstractNumId w:val="24"/>
  </w:num>
  <w:num w:numId="12">
    <w:abstractNumId w:val="2"/>
  </w:num>
  <w:num w:numId="13">
    <w:abstractNumId w:val="38"/>
  </w:num>
  <w:num w:numId="14">
    <w:abstractNumId w:val="47"/>
  </w:num>
  <w:num w:numId="15">
    <w:abstractNumId w:val="52"/>
  </w:num>
  <w:num w:numId="16">
    <w:abstractNumId w:val="15"/>
  </w:num>
  <w:num w:numId="17">
    <w:abstractNumId w:val="25"/>
  </w:num>
  <w:num w:numId="18">
    <w:abstractNumId w:val="35"/>
  </w:num>
  <w:num w:numId="19">
    <w:abstractNumId w:val="1"/>
  </w:num>
  <w:num w:numId="20">
    <w:abstractNumId w:val="12"/>
  </w:num>
  <w:num w:numId="21">
    <w:abstractNumId w:val="31"/>
  </w:num>
  <w:num w:numId="22">
    <w:abstractNumId w:val="46"/>
  </w:num>
  <w:num w:numId="23">
    <w:abstractNumId w:val="0"/>
  </w:num>
  <w:num w:numId="24">
    <w:abstractNumId w:val="4"/>
  </w:num>
  <w:num w:numId="25">
    <w:abstractNumId w:val="28"/>
  </w:num>
  <w:num w:numId="26">
    <w:abstractNumId w:val="51"/>
  </w:num>
  <w:num w:numId="27">
    <w:abstractNumId w:val="32"/>
  </w:num>
  <w:num w:numId="28">
    <w:abstractNumId w:val="14"/>
  </w:num>
  <w:num w:numId="29">
    <w:abstractNumId w:val="19"/>
  </w:num>
  <w:num w:numId="30">
    <w:abstractNumId w:val="53"/>
  </w:num>
  <w:num w:numId="31">
    <w:abstractNumId w:val="58"/>
  </w:num>
  <w:num w:numId="32">
    <w:abstractNumId w:val="27"/>
  </w:num>
  <w:num w:numId="33">
    <w:abstractNumId w:val="21"/>
  </w:num>
  <w:num w:numId="34">
    <w:abstractNumId w:val="7"/>
  </w:num>
  <w:num w:numId="35">
    <w:abstractNumId w:val="42"/>
  </w:num>
  <w:num w:numId="36">
    <w:abstractNumId w:val="48"/>
  </w:num>
  <w:num w:numId="37">
    <w:abstractNumId w:val="37"/>
  </w:num>
  <w:num w:numId="38">
    <w:abstractNumId w:val="8"/>
  </w:num>
  <w:num w:numId="39">
    <w:abstractNumId w:val="23"/>
  </w:num>
  <w:num w:numId="40">
    <w:abstractNumId w:val="9"/>
  </w:num>
  <w:num w:numId="41">
    <w:abstractNumId w:val="26"/>
  </w:num>
  <w:num w:numId="42">
    <w:abstractNumId w:val="57"/>
  </w:num>
  <w:num w:numId="43">
    <w:abstractNumId w:val="36"/>
  </w:num>
  <w:num w:numId="44">
    <w:abstractNumId w:val="40"/>
  </w:num>
  <w:num w:numId="45">
    <w:abstractNumId w:val="55"/>
  </w:num>
  <w:num w:numId="46">
    <w:abstractNumId w:val="44"/>
  </w:num>
  <w:num w:numId="47">
    <w:abstractNumId w:val="17"/>
  </w:num>
  <w:num w:numId="48">
    <w:abstractNumId w:val="18"/>
  </w:num>
  <w:num w:numId="49">
    <w:abstractNumId w:val="30"/>
  </w:num>
  <w:num w:numId="50">
    <w:abstractNumId w:val="13"/>
  </w:num>
  <w:num w:numId="51">
    <w:abstractNumId w:val="50"/>
  </w:num>
  <w:num w:numId="52">
    <w:abstractNumId w:val="22"/>
  </w:num>
  <w:num w:numId="53">
    <w:abstractNumId w:val="6"/>
  </w:num>
  <w:num w:numId="54">
    <w:abstractNumId w:val="34"/>
  </w:num>
  <w:num w:numId="55">
    <w:abstractNumId w:val="11"/>
  </w:num>
  <w:num w:numId="56">
    <w:abstractNumId w:val="20"/>
  </w:num>
  <w:num w:numId="57">
    <w:abstractNumId w:val="5"/>
  </w:num>
  <w:num w:numId="58">
    <w:abstractNumId w:val="54"/>
  </w:num>
  <w:num w:numId="5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1"/>
  <w:bordersDoNotSurroundFooter w:val="1"/>
  <w:documentProtection w:enforcement="0"/>
  <w:defaultTabStop w:val="420"/>
  <w:characterSpacingControl w:val="doNotCompress"/>
  <w:footnotePr>
    <w:footnote w:id="4"/>
    <w:footnote w:id="5"/>
  </w:foot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48F"/>
    <w:rsid w:val="00003594"/>
    <w:rsid w:val="00007E6E"/>
    <w:rsid w:val="00012022"/>
    <w:rsid w:val="00015006"/>
    <w:rsid w:val="00024640"/>
    <w:rsid w:val="00032F7F"/>
    <w:rsid w:val="0003348A"/>
    <w:rsid w:val="00033851"/>
    <w:rsid w:val="00034451"/>
    <w:rsid w:val="000421B2"/>
    <w:rsid w:val="0004369D"/>
    <w:rsid w:val="00044983"/>
    <w:rsid w:val="0005538F"/>
    <w:rsid w:val="00062D0C"/>
    <w:rsid w:val="000635E6"/>
    <w:rsid w:val="00067887"/>
    <w:rsid w:val="000702B0"/>
    <w:rsid w:val="00071008"/>
    <w:rsid w:val="00081ABE"/>
    <w:rsid w:val="0008661A"/>
    <w:rsid w:val="00086BEE"/>
    <w:rsid w:val="000A45A1"/>
    <w:rsid w:val="000B30AF"/>
    <w:rsid w:val="000B7547"/>
    <w:rsid w:val="000C02E2"/>
    <w:rsid w:val="000C7E9E"/>
    <w:rsid w:val="000E0E97"/>
    <w:rsid w:val="001012BC"/>
    <w:rsid w:val="00126D0B"/>
    <w:rsid w:val="00131064"/>
    <w:rsid w:val="0013127D"/>
    <w:rsid w:val="00132392"/>
    <w:rsid w:val="00166998"/>
    <w:rsid w:val="00167F14"/>
    <w:rsid w:val="00180F78"/>
    <w:rsid w:val="001826B9"/>
    <w:rsid w:val="0018506D"/>
    <w:rsid w:val="00194D72"/>
    <w:rsid w:val="001A5809"/>
    <w:rsid w:val="001D306C"/>
    <w:rsid w:val="001E12AE"/>
    <w:rsid w:val="001E1F68"/>
    <w:rsid w:val="001E65F2"/>
    <w:rsid w:val="00203FA1"/>
    <w:rsid w:val="00205AFD"/>
    <w:rsid w:val="00205FB5"/>
    <w:rsid w:val="00210D87"/>
    <w:rsid w:val="002204C4"/>
    <w:rsid w:val="00237F6F"/>
    <w:rsid w:val="002425BA"/>
    <w:rsid w:val="0024648F"/>
    <w:rsid w:val="0024664E"/>
    <w:rsid w:val="00253DAF"/>
    <w:rsid w:val="002550C6"/>
    <w:rsid w:val="00271718"/>
    <w:rsid w:val="002760A9"/>
    <w:rsid w:val="00283F54"/>
    <w:rsid w:val="002B2F1F"/>
    <w:rsid w:val="002B7197"/>
    <w:rsid w:val="002C0A27"/>
    <w:rsid w:val="002C1593"/>
    <w:rsid w:val="002D59FA"/>
    <w:rsid w:val="00307C3A"/>
    <w:rsid w:val="00311E00"/>
    <w:rsid w:val="003230C2"/>
    <w:rsid w:val="00331F02"/>
    <w:rsid w:val="00333136"/>
    <w:rsid w:val="0033561C"/>
    <w:rsid w:val="0034066B"/>
    <w:rsid w:val="003420E4"/>
    <w:rsid w:val="00343492"/>
    <w:rsid w:val="0034469F"/>
    <w:rsid w:val="003446BC"/>
    <w:rsid w:val="00346891"/>
    <w:rsid w:val="00353916"/>
    <w:rsid w:val="003548CD"/>
    <w:rsid w:val="00366591"/>
    <w:rsid w:val="00371180"/>
    <w:rsid w:val="00372EE4"/>
    <w:rsid w:val="00382E69"/>
    <w:rsid w:val="00393A94"/>
    <w:rsid w:val="00396910"/>
    <w:rsid w:val="003A0DB4"/>
    <w:rsid w:val="003B0E8D"/>
    <w:rsid w:val="003C672B"/>
    <w:rsid w:val="003D1001"/>
    <w:rsid w:val="003F51DF"/>
    <w:rsid w:val="003F7B14"/>
    <w:rsid w:val="0040079F"/>
    <w:rsid w:val="00400E5F"/>
    <w:rsid w:val="00403916"/>
    <w:rsid w:val="00415519"/>
    <w:rsid w:val="00426F7F"/>
    <w:rsid w:val="004314FD"/>
    <w:rsid w:val="00453760"/>
    <w:rsid w:val="00457BA8"/>
    <w:rsid w:val="004617AB"/>
    <w:rsid w:val="004642D8"/>
    <w:rsid w:val="004706BA"/>
    <w:rsid w:val="00470700"/>
    <w:rsid w:val="00480821"/>
    <w:rsid w:val="0048319B"/>
    <w:rsid w:val="00487D82"/>
    <w:rsid w:val="00495714"/>
    <w:rsid w:val="004B1634"/>
    <w:rsid w:val="004C4578"/>
    <w:rsid w:val="004F7E1E"/>
    <w:rsid w:val="00523618"/>
    <w:rsid w:val="0052444D"/>
    <w:rsid w:val="00530792"/>
    <w:rsid w:val="00534648"/>
    <w:rsid w:val="00541D76"/>
    <w:rsid w:val="005463ED"/>
    <w:rsid w:val="00547E5B"/>
    <w:rsid w:val="0055409F"/>
    <w:rsid w:val="0055696F"/>
    <w:rsid w:val="00556EDC"/>
    <w:rsid w:val="00571C83"/>
    <w:rsid w:val="0057515F"/>
    <w:rsid w:val="00592491"/>
    <w:rsid w:val="00597504"/>
    <w:rsid w:val="005A1E0B"/>
    <w:rsid w:val="005A7E31"/>
    <w:rsid w:val="005B3855"/>
    <w:rsid w:val="005B41BE"/>
    <w:rsid w:val="005C3D1F"/>
    <w:rsid w:val="005C71D6"/>
    <w:rsid w:val="005D327C"/>
    <w:rsid w:val="005D3DA1"/>
    <w:rsid w:val="005D42C9"/>
    <w:rsid w:val="005E4863"/>
    <w:rsid w:val="005F4285"/>
    <w:rsid w:val="005F7BC2"/>
    <w:rsid w:val="00610BED"/>
    <w:rsid w:val="00620064"/>
    <w:rsid w:val="00623529"/>
    <w:rsid w:val="00630332"/>
    <w:rsid w:val="0063767A"/>
    <w:rsid w:val="006517DC"/>
    <w:rsid w:val="00651D33"/>
    <w:rsid w:val="006537D6"/>
    <w:rsid w:val="0065664F"/>
    <w:rsid w:val="00656C75"/>
    <w:rsid w:val="00657427"/>
    <w:rsid w:val="00675F55"/>
    <w:rsid w:val="0068153F"/>
    <w:rsid w:val="0068457F"/>
    <w:rsid w:val="006964FF"/>
    <w:rsid w:val="006A188A"/>
    <w:rsid w:val="006A415B"/>
    <w:rsid w:val="006A425B"/>
    <w:rsid w:val="006A644C"/>
    <w:rsid w:val="006B02A9"/>
    <w:rsid w:val="006F1731"/>
    <w:rsid w:val="0070048B"/>
    <w:rsid w:val="00703200"/>
    <w:rsid w:val="0071687D"/>
    <w:rsid w:val="0072150D"/>
    <w:rsid w:val="007216DB"/>
    <w:rsid w:val="0072277B"/>
    <w:rsid w:val="00724855"/>
    <w:rsid w:val="00734855"/>
    <w:rsid w:val="0073577D"/>
    <w:rsid w:val="00736CD7"/>
    <w:rsid w:val="0074138E"/>
    <w:rsid w:val="00744786"/>
    <w:rsid w:val="00751EFD"/>
    <w:rsid w:val="00753573"/>
    <w:rsid w:val="00754D4D"/>
    <w:rsid w:val="00756CA9"/>
    <w:rsid w:val="007724D2"/>
    <w:rsid w:val="00776998"/>
    <w:rsid w:val="0077752C"/>
    <w:rsid w:val="00783B8F"/>
    <w:rsid w:val="00791CA6"/>
    <w:rsid w:val="00792CAF"/>
    <w:rsid w:val="00795F15"/>
    <w:rsid w:val="007A0D19"/>
    <w:rsid w:val="007B66E2"/>
    <w:rsid w:val="007C27C8"/>
    <w:rsid w:val="007C2D85"/>
    <w:rsid w:val="007C708A"/>
    <w:rsid w:val="007D19EE"/>
    <w:rsid w:val="007D21FF"/>
    <w:rsid w:val="007D4418"/>
    <w:rsid w:val="007E1806"/>
    <w:rsid w:val="007E31CA"/>
    <w:rsid w:val="007E4857"/>
    <w:rsid w:val="007E6ED6"/>
    <w:rsid w:val="007F38D5"/>
    <w:rsid w:val="007F54E8"/>
    <w:rsid w:val="00812A9B"/>
    <w:rsid w:val="00820924"/>
    <w:rsid w:val="00822E92"/>
    <w:rsid w:val="00831076"/>
    <w:rsid w:val="00831D40"/>
    <w:rsid w:val="00837A5C"/>
    <w:rsid w:val="00852421"/>
    <w:rsid w:val="008574DE"/>
    <w:rsid w:val="0087028F"/>
    <w:rsid w:val="0088717F"/>
    <w:rsid w:val="00895A61"/>
    <w:rsid w:val="00897D11"/>
    <w:rsid w:val="008A640A"/>
    <w:rsid w:val="008B7759"/>
    <w:rsid w:val="008C0A06"/>
    <w:rsid w:val="008C7B75"/>
    <w:rsid w:val="008E4AE2"/>
    <w:rsid w:val="008F60CA"/>
    <w:rsid w:val="0090012E"/>
    <w:rsid w:val="00901DA2"/>
    <w:rsid w:val="009045D9"/>
    <w:rsid w:val="0090649F"/>
    <w:rsid w:val="00906D4D"/>
    <w:rsid w:val="00922A8C"/>
    <w:rsid w:val="00922FB0"/>
    <w:rsid w:val="00923E6D"/>
    <w:rsid w:val="00926B95"/>
    <w:rsid w:val="00933EEB"/>
    <w:rsid w:val="0094543F"/>
    <w:rsid w:val="00946263"/>
    <w:rsid w:val="00955494"/>
    <w:rsid w:val="00961C6A"/>
    <w:rsid w:val="00974FDE"/>
    <w:rsid w:val="0097562C"/>
    <w:rsid w:val="00976442"/>
    <w:rsid w:val="00981691"/>
    <w:rsid w:val="009817D3"/>
    <w:rsid w:val="00992D3A"/>
    <w:rsid w:val="00993A9C"/>
    <w:rsid w:val="009B361A"/>
    <w:rsid w:val="009B43BC"/>
    <w:rsid w:val="009C4513"/>
    <w:rsid w:val="009C50AB"/>
    <w:rsid w:val="009D3352"/>
    <w:rsid w:val="009E1CC6"/>
    <w:rsid w:val="009E688F"/>
    <w:rsid w:val="009F6DFF"/>
    <w:rsid w:val="009F7F48"/>
    <w:rsid w:val="00A02767"/>
    <w:rsid w:val="00A07D76"/>
    <w:rsid w:val="00A1388E"/>
    <w:rsid w:val="00A150BF"/>
    <w:rsid w:val="00A27156"/>
    <w:rsid w:val="00A31B0C"/>
    <w:rsid w:val="00A350D2"/>
    <w:rsid w:val="00A426F9"/>
    <w:rsid w:val="00A44B3D"/>
    <w:rsid w:val="00A639A0"/>
    <w:rsid w:val="00A6708C"/>
    <w:rsid w:val="00A702CF"/>
    <w:rsid w:val="00A73A8D"/>
    <w:rsid w:val="00A750E5"/>
    <w:rsid w:val="00A81E7A"/>
    <w:rsid w:val="00A83876"/>
    <w:rsid w:val="00A86C1B"/>
    <w:rsid w:val="00A95CAD"/>
    <w:rsid w:val="00A97AC7"/>
    <w:rsid w:val="00AA4464"/>
    <w:rsid w:val="00AB10ED"/>
    <w:rsid w:val="00AB4D79"/>
    <w:rsid w:val="00AC09AF"/>
    <w:rsid w:val="00AC4278"/>
    <w:rsid w:val="00AC502A"/>
    <w:rsid w:val="00AC5EFB"/>
    <w:rsid w:val="00AD3179"/>
    <w:rsid w:val="00AE3A1C"/>
    <w:rsid w:val="00AF0159"/>
    <w:rsid w:val="00AF1ACA"/>
    <w:rsid w:val="00AF37B5"/>
    <w:rsid w:val="00AF4EB8"/>
    <w:rsid w:val="00AF7535"/>
    <w:rsid w:val="00B101E0"/>
    <w:rsid w:val="00B13ABF"/>
    <w:rsid w:val="00B176C9"/>
    <w:rsid w:val="00B259DB"/>
    <w:rsid w:val="00B36313"/>
    <w:rsid w:val="00B408CE"/>
    <w:rsid w:val="00B47017"/>
    <w:rsid w:val="00B526CB"/>
    <w:rsid w:val="00B70498"/>
    <w:rsid w:val="00B75FD3"/>
    <w:rsid w:val="00B761F0"/>
    <w:rsid w:val="00B77E41"/>
    <w:rsid w:val="00B81A25"/>
    <w:rsid w:val="00B94EF1"/>
    <w:rsid w:val="00B9554A"/>
    <w:rsid w:val="00B95D2A"/>
    <w:rsid w:val="00B95D81"/>
    <w:rsid w:val="00BA03C5"/>
    <w:rsid w:val="00BA0836"/>
    <w:rsid w:val="00BA2CBA"/>
    <w:rsid w:val="00BB593F"/>
    <w:rsid w:val="00BC7E95"/>
    <w:rsid w:val="00BD4CBF"/>
    <w:rsid w:val="00BD5D80"/>
    <w:rsid w:val="00BE1458"/>
    <w:rsid w:val="00BF6779"/>
    <w:rsid w:val="00C13293"/>
    <w:rsid w:val="00C13894"/>
    <w:rsid w:val="00C16D2E"/>
    <w:rsid w:val="00C27200"/>
    <w:rsid w:val="00C31F26"/>
    <w:rsid w:val="00C350C2"/>
    <w:rsid w:val="00C3647B"/>
    <w:rsid w:val="00C37177"/>
    <w:rsid w:val="00C42AA8"/>
    <w:rsid w:val="00C70411"/>
    <w:rsid w:val="00C76E1C"/>
    <w:rsid w:val="00C81E15"/>
    <w:rsid w:val="00C954C5"/>
    <w:rsid w:val="00CA10A2"/>
    <w:rsid w:val="00CA7431"/>
    <w:rsid w:val="00CB13C6"/>
    <w:rsid w:val="00CB7B8F"/>
    <w:rsid w:val="00CC17BF"/>
    <w:rsid w:val="00CC4A3E"/>
    <w:rsid w:val="00CD34D3"/>
    <w:rsid w:val="00CE2348"/>
    <w:rsid w:val="00CF3B30"/>
    <w:rsid w:val="00D02E42"/>
    <w:rsid w:val="00D1222A"/>
    <w:rsid w:val="00D12E3C"/>
    <w:rsid w:val="00D1530E"/>
    <w:rsid w:val="00D155FD"/>
    <w:rsid w:val="00D30A7D"/>
    <w:rsid w:val="00D3596A"/>
    <w:rsid w:val="00D37BBE"/>
    <w:rsid w:val="00D43D3C"/>
    <w:rsid w:val="00D47608"/>
    <w:rsid w:val="00D6287E"/>
    <w:rsid w:val="00D62AEA"/>
    <w:rsid w:val="00D63398"/>
    <w:rsid w:val="00D75385"/>
    <w:rsid w:val="00D75A59"/>
    <w:rsid w:val="00D75ADE"/>
    <w:rsid w:val="00D75C0A"/>
    <w:rsid w:val="00DA7554"/>
    <w:rsid w:val="00DB6C34"/>
    <w:rsid w:val="00DB6D55"/>
    <w:rsid w:val="00DC011E"/>
    <w:rsid w:val="00DC2AAA"/>
    <w:rsid w:val="00DC74E0"/>
    <w:rsid w:val="00DD74B5"/>
    <w:rsid w:val="00DE5DE4"/>
    <w:rsid w:val="00DF21AD"/>
    <w:rsid w:val="00E075C7"/>
    <w:rsid w:val="00E1504C"/>
    <w:rsid w:val="00E163B6"/>
    <w:rsid w:val="00E26AAB"/>
    <w:rsid w:val="00E32310"/>
    <w:rsid w:val="00E33E31"/>
    <w:rsid w:val="00E5243D"/>
    <w:rsid w:val="00E56BC4"/>
    <w:rsid w:val="00E56F92"/>
    <w:rsid w:val="00E60DA4"/>
    <w:rsid w:val="00E6277B"/>
    <w:rsid w:val="00E71636"/>
    <w:rsid w:val="00E7721D"/>
    <w:rsid w:val="00E83894"/>
    <w:rsid w:val="00E93003"/>
    <w:rsid w:val="00E9748B"/>
    <w:rsid w:val="00EA2F28"/>
    <w:rsid w:val="00EA53FA"/>
    <w:rsid w:val="00EA58AE"/>
    <w:rsid w:val="00EB2E49"/>
    <w:rsid w:val="00EB46D7"/>
    <w:rsid w:val="00ED5C77"/>
    <w:rsid w:val="00ED67B2"/>
    <w:rsid w:val="00EF6008"/>
    <w:rsid w:val="00F00F5B"/>
    <w:rsid w:val="00F0225B"/>
    <w:rsid w:val="00F30A79"/>
    <w:rsid w:val="00F45933"/>
    <w:rsid w:val="00F5681F"/>
    <w:rsid w:val="00F6228A"/>
    <w:rsid w:val="00F636B8"/>
    <w:rsid w:val="00F638B0"/>
    <w:rsid w:val="00F74B99"/>
    <w:rsid w:val="00F82F55"/>
    <w:rsid w:val="00F91999"/>
    <w:rsid w:val="00F95EB2"/>
    <w:rsid w:val="00FA6C85"/>
    <w:rsid w:val="00FD0552"/>
    <w:rsid w:val="00FF3E4D"/>
    <w:rsid w:val="00FF6200"/>
    <w:rsid w:val="72CF1253"/>
    <w:rsid w:val="777FC540"/>
    <w:rsid w:val="F4FF5E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宋体" w:hAnsi="宋体"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宋体" w:hAnsi="宋体" w:eastAsia="宋体" w:cs="宋体"/>
      <w:sz w:val="21"/>
      <w:szCs w:val="21"/>
      <w:lang w:val="en-GB" w:eastAsia="zh-CN" w:bidi="ar-SA"/>
    </w:rPr>
  </w:style>
  <w:style w:type="paragraph" w:styleId="2">
    <w:name w:val="heading 1"/>
    <w:qFormat/>
    <w:uiPriority w:val="9"/>
    <w:pPr>
      <w:outlineLvl w:val="0"/>
    </w:pPr>
    <w:rPr>
      <w:rFonts w:ascii="宋体" w:hAnsi="宋体" w:eastAsia="宋体" w:cs="宋体"/>
      <w:color w:val="2E74B5"/>
      <w:sz w:val="32"/>
      <w:szCs w:val="32"/>
      <w:lang w:val="en-US" w:eastAsia="zh-CN" w:bidi="ar-SA"/>
    </w:rPr>
  </w:style>
  <w:style w:type="paragraph" w:styleId="3">
    <w:name w:val="heading 2"/>
    <w:semiHidden/>
    <w:unhideWhenUsed/>
    <w:qFormat/>
    <w:uiPriority w:val="9"/>
    <w:pPr>
      <w:outlineLvl w:val="1"/>
    </w:pPr>
    <w:rPr>
      <w:rFonts w:ascii="宋体" w:hAnsi="宋体" w:eastAsia="宋体" w:cs="宋体"/>
      <w:color w:val="2E74B5"/>
      <w:sz w:val="26"/>
      <w:szCs w:val="26"/>
      <w:lang w:val="en-US" w:eastAsia="zh-CN" w:bidi="ar-SA"/>
    </w:rPr>
  </w:style>
  <w:style w:type="paragraph" w:styleId="4">
    <w:name w:val="heading 3"/>
    <w:semiHidden/>
    <w:unhideWhenUsed/>
    <w:qFormat/>
    <w:uiPriority w:val="9"/>
    <w:pPr>
      <w:outlineLvl w:val="2"/>
    </w:pPr>
    <w:rPr>
      <w:rFonts w:ascii="宋体" w:hAnsi="宋体" w:eastAsia="宋体" w:cs="宋体"/>
      <w:color w:val="1F4D78"/>
      <w:sz w:val="24"/>
      <w:szCs w:val="24"/>
      <w:lang w:val="en-US" w:eastAsia="zh-CN" w:bidi="ar-SA"/>
    </w:rPr>
  </w:style>
  <w:style w:type="paragraph" w:styleId="5">
    <w:name w:val="heading 4"/>
    <w:semiHidden/>
    <w:unhideWhenUsed/>
    <w:qFormat/>
    <w:uiPriority w:val="9"/>
    <w:pPr>
      <w:outlineLvl w:val="3"/>
    </w:pPr>
    <w:rPr>
      <w:rFonts w:ascii="宋体" w:hAnsi="宋体" w:eastAsia="宋体" w:cs="宋体"/>
      <w:i/>
      <w:iCs/>
      <w:color w:val="2E74B5"/>
      <w:sz w:val="21"/>
      <w:szCs w:val="21"/>
      <w:lang w:val="en-US" w:eastAsia="zh-CN" w:bidi="ar-SA"/>
    </w:rPr>
  </w:style>
  <w:style w:type="paragraph" w:styleId="6">
    <w:name w:val="heading 5"/>
    <w:semiHidden/>
    <w:unhideWhenUsed/>
    <w:qFormat/>
    <w:uiPriority w:val="9"/>
    <w:pPr>
      <w:outlineLvl w:val="4"/>
    </w:pPr>
    <w:rPr>
      <w:rFonts w:ascii="宋体" w:hAnsi="宋体" w:eastAsia="宋体" w:cs="宋体"/>
      <w:color w:val="2E74B5"/>
      <w:sz w:val="21"/>
      <w:szCs w:val="21"/>
      <w:lang w:val="en-US" w:eastAsia="zh-CN" w:bidi="ar-SA"/>
    </w:rPr>
  </w:style>
  <w:style w:type="paragraph" w:styleId="7">
    <w:name w:val="heading 6"/>
    <w:semiHidden/>
    <w:unhideWhenUsed/>
    <w:qFormat/>
    <w:uiPriority w:val="9"/>
    <w:pPr>
      <w:outlineLvl w:val="5"/>
    </w:pPr>
    <w:rPr>
      <w:rFonts w:ascii="宋体" w:hAnsi="宋体" w:eastAsia="宋体" w:cs="宋体"/>
      <w:color w:val="1F4D78"/>
      <w:sz w:val="21"/>
      <w:szCs w:val="21"/>
      <w:lang w:val="en-US" w:eastAsia="zh-CN" w:bidi="ar-SA"/>
    </w:rPr>
  </w:style>
  <w:style w:type="character" w:default="1" w:styleId="19">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8">
    <w:name w:val="annotation text"/>
    <w:basedOn w:val="1"/>
    <w:link w:val="31"/>
    <w:unhideWhenUsed/>
    <w:qFormat/>
    <w:uiPriority w:val="99"/>
  </w:style>
  <w:style w:type="paragraph" w:styleId="9">
    <w:name w:val="toc 3"/>
    <w:basedOn w:val="1"/>
    <w:next w:val="1"/>
    <w:semiHidden/>
    <w:unhideWhenUsed/>
    <w:qFormat/>
    <w:uiPriority w:val="39"/>
    <w:pPr>
      <w:ind w:left="840" w:leftChars="400"/>
    </w:pPr>
  </w:style>
  <w:style w:type="paragraph" w:styleId="10">
    <w:name w:val="endnote text"/>
    <w:link w:val="28"/>
    <w:semiHidden/>
    <w:unhideWhenUsed/>
    <w:qFormat/>
    <w:uiPriority w:val="99"/>
    <w:rPr>
      <w:rFonts w:ascii="宋体" w:hAnsi="宋体" w:eastAsia="宋体" w:cs="宋体"/>
      <w:sz w:val="20"/>
      <w:szCs w:val="20"/>
      <w:lang w:val="en-US" w:eastAsia="zh-CN" w:bidi="ar-SA"/>
    </w:rPr>
  </w:style>
  <w:style w:type="paragraph" w:styleId="11">
    <w:name w:val="footer"/>
    <w:basedOn w:val="1"/>
    <w:link w:val="30"/>
    <w:unhideWhenUsed/>
    <w:qFormat/>
    <w:uiPriority w:val="99"/>
    <w:pPr>
      <w:tabs>
        <w:tab w:val="center" w:pos="4153"/>
        <w:tab w:val="right" w:pos="8306"/>
      </w:tabs>
      <w:snapToGrid w:val="0"/>
    </w:pPr>
    <w:rPr>
      <w:sz w:val="18"/>
      <w:szCs w:val="18"/>
    </w:rPr>
  </w:style>
  <w:style w:type="paragraph" w:styleId="12">
    <w:name w:val="header"/>
    <w:basedOn w:val="1"/>
    <w:link w:val="29"/>
    <w:unhideWhenUsed/>
    <w:qFormat/>
    <w:uiPriority w:val="99"/>
    <w:pPr>
      <w:tabs>
        <w:tab w:val="center" w:pos="4153"/>
        <w:tab w:val="right" w:pos="8306"/>
      </w:tabs>
      <w:snapToGrid w:val="0"/>
      <w:jc w:val="center"/>
    </w:pPr>
    <w:rPr>
      <w:sz w:val="18"/>
      <w:szCs w:val="18"/>
    </w:rPr>
  </w:style>
  <w:style w:type="paragraph" w:styleId="13">
    <w:name w:val="toc 1"/>
    <w:basedOn w:val="1"/>
    <w:next w:val="1"/>
    <w:semiHidden/>
    <w:unhideWhenUsed/>
    <w:qFormat/>
    <w:uiPriority w:val="39"/>
  </w:style>
  <w:style w:type="paragraph" w:styleId="14">
    <w:name w:val="footnote text"/>
    <w:link w:val="27"/>
    <w:semiHidden/>
    <w:unhideWhenUsed/>
    <w:qFormat/>
    <w:uiPriority w:val="99"/>
    <w:rPr>
      <w:rFonts w:ascii="宋体" w:hAnsi="宋体" w:eastAsia="宋体" w:cs="宋体"/>
      <w:sz w:val="20"/>
      <w:szCs w:val="20"/>
      <w:lang w:val="en-US" w:eastAsia="zh-CN" w:bidi="ar-SA"/>
    </w:rPr>
  </w:style>
  <w:style w:type="paragraph" w:styleId="15">
    <w:name w:val="toc 2"/>
    <w:basedOn w:val="1"/>
    <w:next w:val="1"/>
    <w:semiHidden/>
    <w:unhideWhenUsed/>
    <w:qFormat/>
    <w:uiPriority w:val="39"/>
    <w:pPr>
      <w:ind w:left="420" w:leftChars="200"/>
    </w:pPr>
  </w:style>
  <w:style w:type="paragraph" w:styleId="16">
    <w:name w:val="Title"/>
    <w:qFormat/>
    <w:uiPriority w:val="10"/>
    <w:rPr>
      <w:rFonts w:ascii="宋体" w:hAnsi="宋体" w:eastAsia="宋体" w:cs="宋体"/>
      <w:sz w:val="56"/>
      <w:szCs w:val="56"/>
      <w:lang w:val="en-US" w:eastAsia="zh-CN" w:bidi="ar-SA"/>
    </w:rPr>
  </w:style>
  <w:style w:type="paragraph" w:styleId="17">
    <w:name w:val="annotation subject"/>
    <w:basedOn w:val="8"/>
    <w:next w:val="8"/>
    <w:link w:val="32"/>
    <w:semiHidden/>
    <w:unhideWhenUsed/>
    <w:qFormat/>
    <w:uiPriority w:val="99"/>
    <w:rPr>
      <w:b/>
      <w:bCs/>
    </w:rPr>
  </w:style>
  <w:style w:type="character" w:styleId="20">
    <w:name w:val="endnote reference"/>
    <w:semiHidden/>
    <w:unhideWhenUsed/>
    <w:qFormat/>
    <w:uiPriority w:val="99"/>
    <w:rPr>
      <w:vertAlign w:val="superscript"/>
    </w:rPr>
  </w:style>
  <w:style w:type="character" w:styleId="21">
    <w:name w:val="FollowedHyperlink"/>
    <w:basedOn w:val="19"/>
    <w:semiHidden/>
    <w:unhideWhenUsed/>
    <w:qFormat/>
    <w:uiPriority w:val="99"/>
    <w:rPr>
      <w:color w:val="954F72" w:themeColor="followedHyperlink"/>
      <w:u w:val="single"/>
      <w14:textFill>
        <w14:solidFill>
          <w14:schemeClr w14:val="folHlink"/>
        </w14:solidFill>
      </w14:textFill>
    </w:rPr>
  </w:style>
  <w:style w:type="character" w:styleId="22">
    <w:name w:val="Hyperlink"/>
    <w:unhideWhenUsed/>
    <w:qFormat/>
    <w:uiPriority w:val="99"/>
    <w:rPr>
      <w:color w:val="0563C1"/>
      <w:u w:val="single"/>
    </w:rPr>
  </w:style>
  <w:style w:type="character" w:styleId="23">
    <w:name w:val="annotation reference"/>
    <w:basedOn w:val="19"/>
    <w:semiHidden/>
    <w:unhideWhenUsed/>
    <w:qFormat/>
    <w:uiPriority w:val="99"/>
    <w:rPr>
      <w:sz w:val="21"/>
      <w:szCs w:val="21"/>
    </w:rPr>
  </w:style>
  <w:style w:type="character" w:styleId="24">
    <w:name w:val="footnote reference"/>
    <w:semiHidden/>
    <w:unhideWhenUsed/>
    <w:qFormat/>
    <w:uiPriority w:val="99"/>
    <w:rPr>
      <w:vertAlign w:val="superscript"/>
    </w:rPr>
  </w:style>
  <w:style w:type="paragraph" w:customStyle="1" w:styleId="25">
    <w:name w:val="要点1"/>
    <w:qFormat/>
    <w:uiPriority w:val="0"/>
    <w:rPr>
      <w:rFonts w:ascii="宋体" w:hAnsi="宋体" w:eastAsia="宋体" w:cs="宋体"/>
      <w:b/>
      <w:bCs/>
      <w:sz w:val="21"/>
      <w:szCs w:val="21"/>
      <w:lang w:val="en-US" w:eastAsia="zh-CN" w:bidi="ar-SA"/>
    </w:rPr>
  </w:style>
  <w:style w:type="paragraph" w:styleId="26">
    <w:name w:val="List Paragraph"/>
    <w:qFormat/>
    <w:uiPriority w:val="34"/>
    <w:rPr>
      <w:rFonts w:ascii="宋体" w:hAnsi="宋体" w:eastAsia="宋体" w:cs="宋体"/>
      <w:sz w:val="21"/>
      <w:szCs w:val="21"/>
      <w:lang w:val="en-US" w:eastAsia="zh-CN" w:bidi="ar-SA"/>
    </w:rPr>
  </w:style>
  <w:style w:type="character" w:customStyle="1" w:styleId="27">
    <w:name w:val="脚注文本 字符"/>
    <w:link w:val="14"/>
    <w:semiHidden/>
    <w:unhideWhenUsed/>
    <w:qFormat/>
    <w:uiPriority w:val="99"/>
    <w:rPr>
      <w:sz w:val="20"/>
      <w:szCs w:val="20"/>
    </w:rPr>
  </w:style>
  <w:style w:type="character" w:customStyle="1" w:styleId="28">
    <w:name w:val="尾注文本 字符"/>
    <w:link w:val="10"/>
    <w:semiHidden/>
    <w:unhideWhenUsed/>
    <w:qFormat/>
    <w:uiPriority w:val="99"/>
    <w:rPr>
      <w:sz w:val="20"/>
      <w:szCs w:val="20"/>
    </w:rPr>
  </w:style>
  <w:style w:type="character" w:customStyle="1" w:styleId="29">
    <w:name w:val="页眉 字符"/>
    <w:basedOn w:val="19"/>
    <w:link w:val="12"/>
    <w:qFormat/>
    <w:uiPriority w:val="99"/>
    <w:rPr>
      <w:sz w:val="18"/>
      <w:szCs w:val="18"/>
    </w:rPr>
  </w:style>
  <w:style w:type="character" w:customStyle="1" w:styleId="30">
    <w:name w:val="页脚 字符"/>
    <w:basedOn w:val="19"/>
    <w:link w:val="11"/>
    <w:qFormat/>
    <w:uiPriority w:val="99"/>
    <w:rPr>
      <w:sz w:val="18"/>
      <w:szCs w:val="18"/>
    </w:rPr>
  </w:style>
  <w:style w:type="character" w:customStyle="1" w:styleId="31">
    <w:name w:val="批注文字 字符"/>
    <w:basedOn w:val="19"/>
    <w:link w:val="8"/>
    <w:qFormat/>
    <w:uiPriority w:val="99"/>
  </w:style>
  <w:style w:type="character" w:customStyle="1" w:styleId="32">
    <w:name w:val="批注主题 字符"/>
    <w:basedOn w:val="31"/>
    <w:link w:val="17"/>
    <w:semiHidden/>
    <w:qFormat/>
    <w:uiPriority w:val="99"/>
    <w:rPr>
      <w:b/>
      <w:bCs/>
    </w:rPr>
  </w:style>
  <w:style w:type="character" w:customStyle="1" w:styleId="33">
    <w:name w:val="Unresolved Mention"/>
    <w:basedOn w:val="19"/>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49129-3188-43BC-958E-8F9FC626645D}">
  <ds:schemaRefs/>
</ds:datastoreItem>
</file>

<file path=docProps/app.xml><?xml version="1.0" encoding="utf-8"?>
<Properties xmlns="http://schemas.openxmlformats.org/officeDocument/2006/extended-properties" xmlns:vt="http://schemas.openxmlformats.org/officeDocument/2006/docPropsVTypes">
  <Template>Normal</Template>
  <Pages>364</Pages>
  <Words>102916</Words>
  <Characters>109091</Characters>
  <Lines>4040</Lines>
  <Paragraphs>2382</Paragraphs>
  <TotalTime>0</TotalTime>
  <ScaleCrop>false</ScaleCrop>
  <LinksUpToDate>false</LinksUpToDate>
  <CharactersWithSpaces>209625</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2026-07-17T10:12:00Z</dcterms:created>
  <dc:creator>Un-named</dc:creator>
  <cp:lastModifiedBy>_Huangwei</cp:lastModifiedBy>
  <cp:lastPrinted>2026-10-23T17:11:00Z</cp:lastPrinted>
  <dcterms:modified xsi:type="dcterms:W3CDTF">2026-10-26T14:27:22Z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84EF41ED08AC6A31F6B1DA6AC4E3E89A_43</vt:lpwstr>
  </property>
</Properties>
</file>